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59DC" w14:textId="77777777" w:rsidR="00282901" w:rsidRPr="001C1A9F" w:rsidRDefault="00000000" w:rsidP="001C1A9F">
      <w:pPr>
        <w:pStyle w:val="Heading1"/>
        <w:jc w:val="left"/>
        <w:rPr>
          <w:sz w:val="28"/>
          <w:szCs w:val="28"/>
        </w:rPr>
      </w:pPr>
      <w:r w:rsidRPr="001C1A9F">
        <w:rPr>
          <w:sz w:val="28"/>
          <w:szCs w:val="28"/>
        </w:rPr>
        <w:t>Low-alloyed</w:t>
      </w:r>
      <w:r w:rsidRPr="001C1A9F">
        <w:rPr>
          <w:spacing w:val="2"/>
          <w:sz w:val="28"/>
          <w:szCs w:val="28"/>
        </w:rPr>
        <w:t xml:space="preserve"> </w:t>
      </w:r>
      <w:r w:rsidRPr="001C1A9F">
        <w:rPr>
          <w:sz w:val="28"/>
          <w:szCs w:val="28"/>
        </w:rPr>
        <w:t>Mg</w:t>
      </w:r>
      <w:r w:rsidRPr="001C1A9F">
        <w:rPr>
          <w:spacing w:val="7"/>
          <w:sz w:val="28"/>
          <w:szCs w:val="28"/>
        </w:rPr>
        <w:t xml:space="preserve"> </w:t>
      </w:r>
      <w:r w:rsidRPr="001C1A9F">
        <w:rPr>
          <w:sz w:val="28"/>
          <w:szCs w:val="28"/>
        </w:rPr>
        <w:t>alloys</w:t>
      </w:r>
      <w:r w:rsidRPr="001C1A9F">
        <w:rPr>
          <w:spacing w:val="8"/>
          <w:sz w:val="28"/>
          <w:szCs w:val="28"/>
        </w:rPr>
        <w:t xml:space="preserve"> </w:t>
      </w:r>
      <w:r w:rsidRPr="001C1A9F">
        <w:rPr>
          <w:sz w:val="28"/>
          <w:szCs w:val="28"/>
        </w:rPr>
        <w:t>with</w:t>
      </w:r>
      <w:r w:rsidRPr="001C1A9F">
        <w:rPr>
          <w:spacing w:val="8"/>
          <w:sz w:val="28"/>
          <w:szCs w:val="28"/>
        </w:rPr>
        <w:t xml:space="preserve"> </w:t>
      </w:r>
      <w:r w:rsidRPr="001C1A9F">
        <w:rPr>
          <w:sz w:val="28"/>
          <w:szCs w:val="28"/>
        </w:rPr>
        <w:t>high</w:t>
      </w:r>
      <w:r w:rsidRPr="001C1A9F">
        <w:rPr>
          <w:spacing w:val="4"/>
          <w:sz w:val="28"/>
          <w:szCs w:val="28"/>
        </w:rPr>
        <w:t xml:space="preserve"> </w:t>
      </w:r>
      <w:r w:rsidRPr="001C1A9F">
        <w:rPr>
          <w:sz w:val="28"/>
          <w:szCs w:val="28"/>
        </w:rPr>
        <w:t>strength</w:t>
      </w:r>
      <w:r w:rsidRPr="001C1A9F">
        <w:rPr>
          <w:spacing w:val="4"/>
          <w:sz w:val="28"/>
          <w:szCs w:val="28"/>
        </w:rPr>
        <w:t xml:space="preserve"> </w:t>
      </w:r>
      <w:r w:rsidRPr="001C1A9F">
        <w:rPr>
          <w:sz w:val="28"/>
          <w:szCs w:val="28"/>
        </w:rPr>
        <w:t>and</w:t>
      </w:r>
      <w:r w:rsidRPr="001C1A9F">
        <w:rPr>
          <w:spacing w:val="4"/>
          <w:sz w:val="28"/>
          <w:szCs w:val="28"/>
        </w:rPr>
        <w:t xml:space="preserve"> </w:t>
      </w:r>
      <w:r w:rsidRPr="001C1A9F">
        <w:rPr>
          <w:sz w:val="28"/>
          <w:szCs w:val="28"/>
        </w:rPr>
        <w:t>moderate</w:t>
      </w:r>
      <w:r w:rsidRPr="001C1A9F">
        <w:rPr>
          <w:spacing w:val="2"/>
          <w:sz w:val="28"/>
          <w:szCs w:val="28"/>
        </w:rPr>
        <w:t xml:space="preserve"> </w:t>
      </w:r>
      <w:r w:rsidRPr="001C1A9F">
        <w:rPr>
          <w:spacing w:val="-2"/>
          <w:sz w:val="28"/>
          <w:szCs w:val="28"/>
        </w:rPr>
        <w:t>ductility</w:t>
      </w:r>
    </w:p>
    <w:p w14:paraId="7ABCA190" w14:textId="20A09505" w:rsidR="00282901" w:rsidRPr="001C1A9F" w:rsidRDefault="00000000" w:rsidP="001C1A9F">
      <w:pPr>
        <w:spacing w:before="267"/>
        <w:ind w:right="10"/>
        <w:rPr>
          <w:b/>
          <w:bCs/>
          <w:iCs/>
          <w:sz w:val="24"/>
          <w:szCs w:val="24"/>
        </w:rPr>
      </w:pPr>
      <w:r w:rsidRPr="001C1A9F">
        <w:rPr>
          <w:b/>
          <w:bCs/>
          <w:iCs/>
          <w:sz w:val="24"/>
          <w:szCs w:val="24"/>
        </w:rPr>
        <w:t>Daria</w:t>
      </w:r>
      <w:r w:rsidRPr="001C1A9F">
        <w:rPr>
          <w:b/>
          <w:bCs/>
          <w:iCs/>
          <w:spacing w:val="11"/>
          <w:sz w:val="24"/>
          <w:szCs w:val="24"/>
        </w:rPr>
        <w:t xml:space="preserve"> </w:t>
      </w:r>
      <w:r w:rsidRPr="001C1A9F">
        <w:rPr>
          <w:b/>
          <w:bCs/>
          <w:iCs/>
          <w:spacing w:val="-2"/>
          <w:sz w:val="24"/>
          <w:szCs w:val="24"/>
        </w:rPr>
        <w:t>Drozdenko</w:t>
      </w:r>
      <w:proofErr w:type="gramStart"/>
      <w:r w:rsidRPr="001C1A9F">
        <w:rPr>
          <w:b/>
          <w:bCs/>
          <w:iCs/>
          <w:spacing w:val="-2"/>
          <w:sz w:val="24"/>
          <w:szCs w:val="24"/>
          <w:vertAlign w:val="superscript"/>
        </w:rPr>
        <w:t>1,</w:t>
      </w:r>
      <w:r w:rsidRPr="001C1A9F">
        <w:rPr>
          <w:b/>
          <w:bCs/>
          <w:iCs/>
          <w:spacing w:val="-2"/>
          <w:sz w:val="24"/>
          <w:szCs w:val="24"/>
        </w:rPr>
        <w:t>*</w:t>
      </w:r>
      <w:proofErr w:type="gramEnd"/>
      <w:r w:rsidR="001C1A9F" w:rsidRPr="001C1A9F">
        <w:rPr>
          <w:b/>
          <w:bCs/>
          <w:iCs/>
          <w:sz w:val="24"/>
          <w:szCs w:val="24"/>
        </w:rPr>
        <w:t xml:space="preserve"> </w:t>
      </w:r>
      <w:r w:rsidRPr="001C1A9F">
        <w:rPr>
          <w:iCs/>
          <w:sz w:val="24"/>
          <w:szCs w:val="24"/>
        </w:rPr>
        <w:t>Patrik Dobroň</w:t>
      </w:r>
      <w:proofErr w:type="gramStart"/>
      <w:r w:rsidRPr="001C1A9F">
        <w:rPr>
          <w:iCs/>
          <w:sz w:val="24"/>
          <w:szCs w:val="24"/>
          <w:vertAlign w:val="superscript"/>
        </w:rPr>
        <w:t>1</w:t>
      </w:r>
      <w:r w:rsidRPr="001C1A9F">
        <w:rPr>
          <w:iCs/>
          <w:sz w:val="24"/>
          <w:szCs w:val="24"/>
        </w:rPr>
        <w:t>,Kristián</w:t>
      </w:r>
      <w:proofErr w:type="gramEnd"/>
      <w:r w:rsidRPr="001C1A9F">
        <w:rPr>
          <w:iCs/>
          <w:sz w:val="24"/>
          <w:szCs w:val="24"/>
        </w:rPr>
        <w:t xml:space="preserve"> Máthis</w:t>
      </w:r>
      <w:r w:rsidRPr="001C1A9F">
        <w:rPr>
          <w:iCs/>
          <w:sz w:val="24"/>
          <w:szCs w:val="24"/>
          <w:vertAlign w:val="superscript"/>
        </w:rPr>
        <w:t>1</w:t>
      </w:r>
      <w:r w:rsidRPr="001C1A9F">
        <w:rPr>
          <w:iCs/>
          <w:sz w:val="24"/>
          <w:szCs w:val="24"/>
        </w:rPr>
        <w:t>, Michiaki Yamasaki</w:t>
      </w:r>
      <w:r w:rsidRPr="001C1A9F">
        <w:rPr>
          <w:iCs/>
          <w:sz w:val="24"/>
          <w:szCs w:val="24"/>
          <w:vertAlign w:val="superscript"/>
        </w:rPr>
        <w:t>2</w:t>
      </w:r>
      <w:r w:rsidRPr="001C1A9F">
        <w:rPr>
          <w:iCs/>
          <w:sz w:val="24"/>
          <w:szCs w:val="24"/>
        </w:rPr>
        <w:t>, Soya Nisimoto</w:t>
      </w:r>
      <w:r w:rsidRPr="001C1A9F">
        <w:rPr>
          <w:iCs/>
          <w:sz w:val="24"/>
          <w:szCs w:val="24"/>
          <w:vertAlign w:val="superscript"/>
        </w:rPr>
        <w:t>2</w:t>
      </w:r>
      <w:r w:rsidRPr="001C1A9F">
        <w:rPr>
          <w:iCs/>
          <w:sz w:val="24"/>
          <w:szCs w:val="24"/>
        </w:rPr>
        <w:t>, Shin-</w:t>
      </w:r>
      <w:proofErr w:type="spellStart"/>
      <w:r w:rsidRPr="001C1A9F">
        <w:rPr>
          <w:iCs/>
          <w:sz w:val="24"/>
          <w:szCs w:val="24"/>
        </w:rPr>
        <w:t>ichi</w:t>
      </w:r>
      <w:proofErr w:type="spellEnd"/>
      <w:r w:rsidRPr="001C1A9F">
        <w:rPr>
          <w:iCs/>
          <w:sz w:val="24"/>
          <w:szCs w:val="24"/>
        </w:rPr>
        <w:t xml:space="preserve"> Inoue</w:t>
      </w:r>
      <w:r w:rsidRPr="001C1A9F">
        <w:rPr>
          <w:iCs/>
          <w:sz w:val="24"/>
          <w:szCs w:val="24"/>
          <w:vertAlign w:val="superscript"/>
        </w:rPr>
        <w:t>3</w:t>
      </w:r>
      <w:r w:rsidRPr="001C1A9F">
        <w:rPr>
          <w:iCs/>
          <w:sz w:val="24"/>
          <w:szCs w:val="24"/>
        </w:rPr>
        <w:t>, Yoshihito Kawamura</w:t>
      </w:r>
      <w:r w:rsidRPr="001C1A9F">
        <w:rPr>
          <w:iCs/>
          <w:sz w:val="24"/>
          <w:szCs w:val="24"/>
          <w:vertAlign w:val="superscript"/>
        </w:rPr>
        <w:t>3</w:t>
      </w:r>
      <w:r w:rsidR="001C1A9F" w:rsidRPr="001C1A9F">
        <w:rPr>
          <w:i/>
          <w:sz w:val="24"/>
          <w:szCs w:val="24"/>
          <w:vertAlign w:val="superscript"/>
        </w:rPr>
        <w:br/>
      </w:r>
    </w:p>
    <w:p w14:paraId="318EFEA2" w14:textId="77777777" w:rsidR="00282901" w:rsidRPr="001C1A9F" w:rsidRDefault="00000000" w:rsidP="001C1A9F">
      <w:pPr>
        <w:pStyle w:val="BodyText"/>
        <w:ind w:right="193"/>
        <w:jc w:val="left"/>
        <w:rPr>
          <w:i/>
          <w:iCs/>
        </w:rPr>
      </w:pPr>
      <w:r w:rsidRPr="001C1A9F">
        <w:rPr>
          <w:i/>
          <w:iCs/>
          <w:vertAlign w:val="superscript"/>
        </w:rPr>
        <w:t>1</w:t>
      </w:r>
      <w:r w:rsidRPr="001C1A9F">
        <w:rPr>
          <w:i/>
          <w:iCs/>
          <w:spacing w:val="-8"/>
        </w:rPr>
        <w:t xml:space="preserve"> </w:t>
      </w:r>
      <w:r w:rsidRPr="001C1A9F">
        <w:rPr>
          <w:i/>
          <w:iCs/>
        </w:rPr>
        <w:t xml:space="preserve">Department of Physics of Materials, Faculty of Mathematics and Physics, Charles University, Ke </w:t>
      </w:r>
      <w:proofErr w:type="spellStart"/>
      <w:r w:rsidRPr="001C1A9F">
        <w:rPr>
          <w:i/>
          <w:iCs/>
        </w:rPr>
        <w:t>Karlovu</w:t>
      </w:r>
      <w:proofErr w:type="spellEnd"/>
      <w:r w:rsidRPr="001C1A9F">
        <w:rPr>
          <w:i/>
          <w:iCs/>
        </w:rPr>
        <w:t xml:space="preserve"> 5, 12116, Prague 2, Czech Republic</w:t>
      </w:r>
    </w:p>
    <w:p w14:paraId="55CB674A" w14:textId="77777777" w:rsidR="00282901" w:rsidRPr="001C1A9F" w:rsidRDefault="00000000" w:rsidP="001C1A9F">
      <w:pPr>
        <w:pStyle w:val="BodyText"/>
        <w:ind w:right="197"/>
        <w:jc w:val="left"/>
        <w:rPr>
          <w:i/>
          <w:iCs/>
        </w:rPr>
      </w:pPr>
      <w:r w:rsidRPr="001C1A9F">
        <w:rPr>
          <w:i/>
          <w:iCs/>
          <w:vertAlign w:val="superscript"/>
        </w:rPr>
        <w:t>2</w:t>
      </w:r>
      <w:r w:rsidRPr="001C1A9F">
        <w:rPr>
          <w:i/>
          <w:iCs/>
          <w:spacing w:val="-6"/>
        </w:rPr>
        <w:t xml:space="preserve"> </w:t>
      </w:r>
      <w:r w:rsidRPr="001C1A9F">
        <w:rPr>
          <w:i/>
          <w:iCs/>
        </w:rPr>
        <w:t>Department of Materials</w:t>
      </w:r>
      <w:r w:rsidRPr="001C1A9F">
        <w:rPr>
          <w:i/>
          <w:iCs/>
          <w:spacing w:val="18"/>
        </w:rPr>
        <w:t xml:space="preserve"> </w:t>
      </w:r>
      <w:r w:rsidRPr="001C1A9F">
        <w:rPr>
          <w:i/>
          <w:iCs/>
        </w:rPr>
        <w:t>Science, Kumamoto</w:t>
      </w:r>
      <w:r w:rsidRPr="001C1A9F">
        <w:rPr>
          <w:i/>
          <w:iCs/>
          <w:spacing w:val="18"/>
        </w:rPr>
        <w:t xml:space="preserve"> </w:t>
      </w:r>
      <w:r w:rsidRPr="001C1A9F">
        <w:rPr>
          <w:i/>
          <w:iCs/>
        </w:rPr>
        <w:t xml:space="preserve">University, 2-39-1 </w:t>
      </w:r>
      <w:proofErr w:type="spellStart"/>
      <w:r w:rsidRPr="001C1A9F">
        <w:rPr>
          <w:i/>
          <w:iCs/>
        </w:rPr>
        <w:t>Kurokami</w:t>
      </w:r>
      <w:proofErr w:type="spellEnd"/>
      <w:r w:rsidRPr="001C1A9F">
        <w:rPr>
          <w:i/>
          <w:iCs/>
        </w:rPr>
        <w:t>, Chuo-</w:t>
      </w:r>
      <w:proofErr w:type="spellStart"/>
      <w:r w:rsidRPr="001C1A9F">
        <w:rPr>
          <w:i/>
          <w:iCs/>
        </w:rPr>
        <w:t>ku</w:t>
      </w:r>
      <w:proofErr w:type="spellEnd"/>
      <w:r w:rsidRPr="001C1A9F">
        <w:rPr>
          <w:i/>
          <w:iCs/>
        </w:rPr>
        <w:t>, 860-8555 Kumamoto, Japan</w:t>
      </w:r>
    </w:p>
    <w:p w14:paraId="774664EF" w14:textId="77777777" w:rsidR="00282901" w:rsidRPr="001C1A9F" w:rsidRDefault="00000000" w:rsidP="001C1A9F">
      <w:pPr>
        <w:pStyle w:val="BodyText"/>
        <w:spacing w:before="2"/>
        <w:ind w:right="198"/>
        <w:jc w:val="left"/>
        <w:rPr>
          <w:i/>
          <w:iCs/>
        </w:rPr>
      </w:pPr>
      <w:r w:rsidRPr="001C1A9F">
        <w:rPr>
          <w:i/>
          <w:iCs/>
          <w:vertAlign w:val="superscript"/>
        </w:rPr>
        <w:t>3</w:t>
      </w:r>
      <w:r w:rsidRPr="001C1A9F">
        <w:rPr>
          <w:i/>
          <w:iCs/>
          <w:spacing w:val="-4"/>
        </w:rPr>
        <w:t xml:space="preserve"> </w:t>
      </w:r>
      <w:r w:rsidRPr="001C1A9F">
        <w:rPr>
          <w:i/>
          <w:iCs/>
        </w:rPr>
        <w:t xml:space="preserve">Magnesium Research Center, Kumamoto University, 2-39-1 </w:t>
      </w:r>
      <w:proofErr w:type="spellStart"/>
      <w:r w:rsidRPr="001C1A9F">
        <w:rPr>
          <w:i/>
          <w:iCs/>
        </w:rPr>
        <w:t>Kurokami</w:t>
      </w:r>
      <w:proofErr w:type="spellEnd"/>
      <w:r w:rsidRPr="001C1A9F">
        <w:rPr>
          <w:i/>
          <w:iCs/>
        </w:rPr>
        <w:t>, Chuo-</w:t>
      </w:r>
      <w:proofErr w:type="spellStart"/>
      <w:r w:rsidRPr="001C1A9F">
        <w:rPr>
          <w:i/>
          <w:iCs/>
        </w:rPr>
        <w:t>ku</w:t>
      </w:r>
      <w:proofErr w:type="spellEnd"/>
      <w:r w:rsidRPr="001C1A9F">
        <w:rPr>
          <w:i/>
          <w:iCs/>
        </w:rPr>
        <w:t>, 860-8555 Kumamoto, Japan</w:t>
      </w:r>
    </w:p>
    <w:p w14:paraId="75A606C0" w14:textId="77777777" w:rsidR="00282901" w:rsidRDefault="00282901">
      <w:pPr>
        <w:pStyle w:val="BodyText"/>
        <w:spacing w:before="142"/>
        <w:ind w:left="0"/>
        <w:jc w:val="left"/>
      </w:pPr>
    </w:p>
    <w:p w14:paraId="7D5DF705" w14:textId="7656BED5" w:rsidR="00282901" w:rsidRPr="001C1A9F" w:rsidRDefault="001C1A9F" w:rsidP="001C1A9F">
      <w:pPr>
        <w:pStyle w:val="Heading2"/>
        <w:rPr>
          <w:sz w:val="24"/>
          <w:szCs w:val="24"/>
        </w:rPr>
      </w:pPr>
      <w:r w:rsidRPr="001C1A9F">
        <w:rPr>
          <w:spacing w:val="-2"/>
          <w:sz w:val="24"/>
          <w:szCs w:val="24"/>
        </w:rPr>
        <w:t>Abstract:</w:t>
      </w:r>
      <w:r w:rsidRPr="001C1A9F">
        <w:rPr>
          <w:spacing w:val="-2"/>
          <w:sz w:val="24"/>
          <w:szCs w:val="24"/>
        </w:rPr>
        <w:br/>
      </w:r>
    </w:p>
    <w:p w14:paraId="18DA8403" w14:textId="5805FD7F" w:rsidR="00282901" w:rsidRPr="001C1A9F" w:rsidRDefault="00000000" w:rsidP="001C1A9F">
      <w:pPr>
        <w:pStyle w:val="BodyText"/>
        <w:spacing w:before="7"/>
        <w:ind w:right="88"/>
        <w:rPr>
          <w:sz w:val="24"/>
          <w:szCs w:val="24"/>
        </w:rPr>
      </w:pPr>
      <w:r w:rsidRPr="001C1A9F">
        <w:rPr>
          <w:sz w:val="24"/>
          <w:szCs w:val="24"/>
        </w:rPr>
        <w:t xml:space="preserve">The increasing demand for lightweight structural materials in engineering and transportation applications drives the development of Mg alloys with improved mechanical performance and corrosion resistance. At the same time, Mg alloys are promising candidates for biodegradable implants, where biocompatibility and controlled degradation are essential. From both biomedical and economic perspectives, reducing the content of rare-earth (RE) elements is highly desirable. To preserve good mechanical properties of Mg-Zn-RE alloys with a reduced RE content, optimization of processing parameters </w:t>
      </w:r>
      <w:proofErr w:type="gramStart"/>
      <w:r w:rsidRPr="001C1A9F">
        <w:rPr>
          <w:sz w:val="24"/>
          <w:szCs w:val="24"/>
        </w:rPr>
        <w:t>has to</w:t>
      </w:r>
      <w:proofErr w:type="gramEnd"/>
      <w:r w:rsidRPr="001C1A9F">
        <w:rPr>
          <w:sz w:val="24"/>
          <w:szCs w:val="24"/>
        </w:rPr>
        <w:t xml:space="preserve"> be considered. Among others, the rapidly solidified ribbon-consolidation (RSRC) technique has been found to be effective in producing Mg alloys with exceptional properties. The present study focuses on dilute Mg–Zn–Y/Gd alloys prepared by RSRC, focused on the relationship between processing parameters, microstructure, and resulting properties. In particular, the effects of alloy composition and</w:t>
      </w:r>
      <w:r w:rsidRPr="001C1A9F">
        <w:rPr>
          <w:spacing w:val="80"/>
          <w:sz w:val="24"/>
          <w:szCs w:val="24"/>
        </w:rPr>
        <w:t xml:space="preserve"> </w:t>
      </w:r>
      <w:r w:rsidRPr="001C1A9F">
        <w:rPr>
          <w:sz w:val="24"/>
          <w:szCs w:val="24"/>
        </w:rPr>
        <w:t>metal flow rate during extrusion were systematically investigated.</w:t>
      </w:r>
    </w:p>
    <w:p w14:paraId="00A8FC75" w14:textId="77777777" w:rsidR="001C1A9F" w:rsidRPr="001C1A9F" w:rsidRDefault="001C1A9F" w:rsidP="001C1A9F">
      <w:pPr>
        <w:pStyle w:val="BodyText"/>
        <w:spacing w:before="7"/>
        <w:ind w:right="88"/>
        <w:rPr>
          <w:sz w:val="24"/>
          <w:szCs w:val="24"/>
        </w:rPr>
      </w:pPr>
    </w:p>
    <w:p w14:paraId="7A86AF99" w14:textId="77777777" w:rsidR="001C1A9F" w:rsidRDefault="00000000" w:rsidP="001C1A9F">
      <w:pPr>
        <w:pStyle w:val="BodyText"/>
        <w:rPr>
          <w:sz w:val="24"/>
          <w:szCs w:val="24"/>
        </w:rPr>
      </w:pPr>
      <w:r w:rsidRPr="001C1A9F">
        <w:rPr>
          <w:sz w:val="24"/>
          <w:szCs w:val="24"/>
        </w:rPr>
        <w:t>The</w:t>
      </w:r>
      <w:r w:rsidRPr="001C1A9F">
        <w:rPr>
          <w:spacing w:val="7"/>
          <w:sz w:val="24"/>
          <w:szCs w:val="24"/>
        </w:rPr>
        <w:t xml:space="preserve"> </w:t>
      </w:r>
      <w:r w:rsidRPr="001C1A9F">
        <w:rPr>
          <w:sz w:val="24"/>
          <w:szCs w:val="24"/>
        </w:rPr>
        <w:t>developed</w:t>
      </w:r>
      <w:r w:rsidRPr="001C1A9F">
        <w:rPr>
          <w:spacing w:val="8"/>
          <w:sz w:val="24"/>
          <w:szCs w:val="24"/>
        </w:rPr>
        <w:t xml:space="preserve"> </w:t>
      </w:r>
      <w:r w:rsidRPr="001C1A9F">
        <w:rPr>
          <w:sz w:val="24"/>
          <w:szCs w:val="24"/>
        </w:rPr>
        <w:t>materials</w:t>
      </w:r>
      <w:r w:rsidRPr="001C1A9F">
        <w:rPr>
          <w:spacing w:val="14"/>
          <w:sz w:val="24"/>
          <w:szCs w:val="24"/>
        </w:rPr>
        <w:t xml:space="preserve"> </w:t>
      </w:r>
      <w:r w:rsidRPr="001C1A9F">
        <w:rPr>
          <w:sz w:val="24"/>
          <w:szCs w:val="24"/>
        </w:rPr>
        <w:t>exhibit</w:t>
      </w:r>
      <w:r w:rsidRPr="001C1A9F">
        <w:rPr>
          <w:spacing w:val="14"/>
          <w:sz w:val="24"/>
          <w:szCs w:val="24"/>
        </w:rPr>
        <w:t xml:space="preserve"> </w:t>
      </w:r>
      <w:r w:rsidRPr="001C1A9F">
        <w:rPr>
          <w:sz w:val="24"/>
          <w:szCs w:val="24"/>
        </w:rPr>
        <w:t>an</w:t>
      </w:r>
      <w:r w:rsidRPr="001C1A9F">
        <w:rPr>
          <w:spacing w:val="14"/>
          <w:sz w:val="24"/>
          <w:szCs w:val="24"/>
        </w:rPr>
        <w:t xml:space="preserve"> </w:t>
      </w:r>
      <w:r w:rsidRPr="001C1A9F">
        <w:rPr>
          <w:sz w:val="24"/>
          <w:szCs w:val="24"/>
        </w:rPr>
        <w:t>ultrafine-grained</w:t>
      </w:r>
      <w:r w:rsidRPr="001C1A9F">
        <w:rPr>
          <w:spacing w:val="7"/>
          <w:sz w:val="24"/>
          <w:szCs w:val="24"/>
        </w:rPr>
        <w:t xml:space="preserve"> </w:t>
      </w:r>
      <w:r w:rsidRPr="001C1A9F">
        <w:rPr>
          <w:sz w:val="24"/>
          <w:szCs w:val="24"/>
        </w:rPr>
        <w:t>(UFG)</w:t>
      </w:r>
      <w:r w:rsidRPr="001C1A9F">
        <w:rPr>
          <w:spacing w:val="10"/>
          <w:sz w:val="24"/>
          <w:szCs w:val="24"/>
        </w:rPr>
        <w:t xml:space="preserve"> </w:t>
      </w:r>
      <w:r w:rsidRPr="001C1A9F">
        <w:rPr>
          <w:sz w:val="24"/>
          <w:szCs w:val="24"/>
        </w:rPr>
        <w:t>microstructure</w:t>
      </w:r>
      <w:r w:rsidRPr="001C1A9F">
        <w:rPr>
          <w:spacing w:val="10"/>
          <w:sz w:val="24"/>
          <w:szCs w:val="24"/>
        </w:rPr>
        <w:t xml:space="preserve"> </w:t>
      </w:r>
      <w:r w:rsidRPr="001C1A9F">
        <w:rPr>
          <w:sz w:val="24"/>
          <w:szCs w:val="24"/>
        </w:rPr>
        <w:t>(average</w:t>
      </w:r>
      <w:r w:rsidRPr="001C1A9F">
        <w:rPr>
          <w:spacing w:val="8"/>
          <w:sz w:val="24"/>
          <w:szCs w:val="24"/>
        </w:rPr>
        <w:t xml:space="preserve"> </w:t>
      </w:r>
      <w:r w:rsidRPr="001C1A9F">
        <w:rPr>
          <w:sz w:val="24"/>
          <w:szCs w:val="24"/>
        </w:rPr>
        <w:t>grain</w:t>
      </w:r>
      <w:r w:rsidRPr="001C1A9F">
        <w:rPr>
          <w:spacing w:val="14"/>
          <w:sz w:val="24"/>
          <w:szCs w:val="24"/>
        </w:rPr>
        <w:t xml:space="preserve"> </w:t>
      </w:r>
      <w:r w:rsidRPr="001C1A9F">
        <w:rPr>
          <w:spacing w:val="-4"/>
          <w:sz w:val="24"/>
          <w:szCs w:val="24"/>
        </w:rPr>
        <w:t>size</w:t>
      </w:r>
      <w:r w:rsidR="001C1A9F">
        <w:rPr>
          <w:sz w:val="24"/>
          <w:szCs w:val="24"/>
        </w:rPr>
        <w:t xml:space="preserve"> </w:t>
      </w:r>
      <w:r w:rsidRPr="001C1A9F">
        <w:rPr>
          <w:sz w:val="24"/>
          <w:szCs w:val="24"/>
        </w:rPr>
        <w:t>~1</w:t>
      </w:r>
      <w:r w:rsidRPr="001C1A9F">
        <w:rPr>
          <w:spacing w:val="17"/>
          <w:sz w:val="24"/>
          <w:szCs w:val="24"/>
        </w:rPr>
        <w:t xml:space="preserve"> </w:t>
      </w:r>
      <w:r w:rsidRPr="001C1A9F">
        <w:rPr>
          <w:sz w:val="24"/>
          <w:szCs w:val="24"/>
        </w:rPr>
        <w:t>µm) with a</w:t>
      </w:r>
      <w:r w:rsidRPr="001C1A9F">
        <w:rPr>
          <w:spacing w:val="22"/>
          <w:sz w:val="24"/>
          <w:szCs w:val="24"/>
        </w:rPr>
        <w:t xml:space="preserve"> </w:t>
      </w:r>
      <w:r w:rsidRPr="001C1A9F">
        <w:rPr>
          <w:sz w:val="24"/>
          <w:szCs w:val="24"/>
        </w:rPr>
        <w:t>weak</w:t>
      </w:r>
      <w:r w:rsidRPr="001C1A9F">
        <w:rPr>
          <w:spacing w:val="20"/>
          <w:sz w:val="24"/>
          <w:szCs w:val="24"/>
        </w:rPr>
        <w:t xml:space="preserve"> </w:t>
      </w:r>
      <w:r w:rsidRPr="001C1A9F">
        <w:rPr>
          <w:sz w:val="24"/>
          <w:szCs w:val="24"/>
        </w:rPr>
        <w:t>basal</w:t>
      </w:r>
      <w:r w:rsidRPr="001C1A9F">
        <w:rPr>
          <w:spacing w:val="17"/>
          <w:sz w:val="24"/>
          <w:szCs w:val="24"/>
        </w:rPr>
        <w:t xml:space="preserve"> </w:t>
      </w:r>
      <w:r w:rsidRPr="001C1A9F">
        <w:rPr>
          <w:sz w:val="24"/>
          <w:szCs w:val="24"/>
        </w:rPr>
        <w:t>texture.</w:t>
      </w:r>
      <w:r w:rsidRPr="001C1A9F">
        <w:rPr>
          <w:spacing w:val="17"/>
          <w:sz w:val="24"/>
          <w:szCs w:val="24"/>
        </w:rPr>
        <w:t xml:space="preserve"> </w:t>
      </w:r>
      <w:r w:rsidRPr="001C1A9F">
        <w:rPr>
          <w:sz w:val="24"/>
          <w:szCs w:val="24"/>
        </w:rPr>
        <w:t>Despite the low</w:t>
      </w:r>
      <w:r w:rsidRPr="001C1A9F">
        <w:rPr>
          <w:spacing w:val="16"/>
          <w:sz w:val="24"/>
          <w:szCs w:val="24"/>
        </w:rPr>
        <w:t xml:space="preserve"> </w:t>
      </w:r>
      <w:r w:rsidRPr="001C1A9F">
        <w:rPr>
          <w:sz w:val="24"/>
          <w:szCs w:val="24"/>
        </w:rPr>
        <w:t>alloying content</w:t>
      </w:r>
      <w:r w:rsidRPr="001C1A9F">
        <w:rPr>
          <w:spacing w:val="23"/>
          <w:sz w:val="24"/>
          <w:szCs w:val="24"/>
        </w:rPr>
        <w:t xml:space="preserve"> </w:t>
      </w:r>
      <w:r w:rsidRPr="001C1A9F">
        <w:rPr>
          <w:sz w:val="24"/>
          <w:szCs w:val="24"/>
        </w:rPr>
        <w:t>(≤</w:t>
      </w:r>
      <w:r w:rsidRPr="001C1A9F">
        <w:rPr>
          <w:spacing w:val="17"/>
          <w:sz w:val="24"/>
          <w:szCs w:val="24"/>
        </w:rPr>
        <w:t xml:space="preserve"> </w:t>
      </w:r>
      <w:r w:rsidRPr="001C1A9F">
        <w:rPr>
          <w:sz w:val="24"/>
          <w:szCs w:val="24"/>
        </w:rPr>
        <w:t>2</w:t>
      </w:r>
      <w:r w:rsidRPr="001C1A9F">
        <w:rPr>
          <w:spacing w:val="20"/>
          <w:sz w:val="24"/>
          <w:szCs w:val="24"/>
        </w:rPr>
        <w:t xml:space="preserve"> </w:t>
      </w:r>
      <w:proofErr w:type="gramStart"/>
      <w:r w:rsidRPr="001C1A9F">
        <w:rPr>
          <w:sz w:val="24"/>
          <w:szCs w:val="24"/>
        </w:rPr>
        <w:t>at.%</w:t>
      </w:r>
      <w:proofErr w:type="gramEnd"/>
      <w:r w:rsidRPr="001C1A9F">
        <w:rPr>
          <w:sz w:val="24"/>
          <w:szCs w:val="24"/>
        </w:rPr>
        <w:t>),</w:t>
      </w:r>
      <w:r w:rsidRPr="001C1A9F">
        <w:rPr>
          <w:spacing w:val="17"/>
          <w:sz w:val="24"/>
          <w:szCs w:val="24"/>
        </w:rPr>
        <w:t xml:space="preserve"> </w:t>
      </w:r>
      <w:r w:rsidRPr="001C1A9F">
        <w:rPr>
          <w:sz w:val="24"/>
          <w:szCs w:val="24"/>
        </w:rPr>
        <w:t>the</w:t>
      </w:r>
      <w:r w:rsidRPr="001C1A9F">
        <w:rPr>
          <w:spacing w:val="20"/>
          <w:sz w:val="24"/>
          <w:szCs w:val="24"/>
        </w:rPr>
        <w:t xml:space="preserve"> </w:t>
      </w:r>
      <w:r w:rsidRPr="001C1A9F">
        <w:rPr>
          <w:sz w:val="24"/>
          <w:szCs w:val="24"/>
        </w:rPr>
        <w:t>formation of solute-enriched</w:t>
      </w:r>
      <w:r w:rsidRPr="001C1A9F">
        <w:rPr>
          <w:spacing w:val="-1"/>
          <w:sz w:val="24"/>
          <w:szCs w:val="24"/>
        </w:rPr>
        <w:t xml:space="preserve"> </w:t>
      </w:r>
      <w:r w:rsidRPr="001C1A9F">
        <w:rPr>
          <w:sz w:val="24"/>
          <w:szCs w:val="24"/>
        </w:rPr>
        <w:t>stacking faults and its agglomeration in cluster-arranged layers</w:t>
      </w:r>
      <w:r w:rsidRPr="001C1A9F">
        <w:rPr>
          <w:spacing w:val="-1"/>
          <w:sz w:val="24"/>
          <w:szCs w:val="24"/>
        </w:rPr>
        <w:t xml:space="preserve"> </w:t>
      </w:r>
      <w:r w:rsidRPr="001C1A9F">
        <w:rPr>
          <w:sz w:val="24"/>
          <w:szCs w:val="24"/>
        </w:rPr>
        <w:t>or nanoplates provides effective strengthening by hindering dislocation motion. In addition, the alloys demonstrate remarkable thermal stability compared to conventional UFG Mg alloys.</w:t>
      </w:r>
    </w:p>
    <w:p w14:paraId="1DB88CEC" w14:textId="1C0B7519" w:rsidR="00282901" w:rsidRPr="001C1A9F" w:rsidRDefault="001C1A9F" w:rsidP="001C1A9F">
      <w:pPr>
        <w:pStyle w:val="BodyText"/>
        <w:rPr>
          <w:sz w:val="24"/>
          <w:szCs w:val="24"/>
        </w:rPr>
      </w:pPr>
      <w:r>
        <w:rPr>
          <w:sz w:val="24"/>
          <w:szCs w:val="24"/>
        </w:rPr>
        <w:br/>
      </w:r>
      <w:r w:rsidRPr="001C1A9F">
        <w:rPr>
          <w:sz w:val="24"/>
          <w:szCs w:val="24"/>
        </w:rPr>
        <w:t xml:space="preserve">Mechanical properties and corrosion </w:t>
      </w:r>
      <w:proofErr w:type="spellStart"/>
      <w:r w:rsidRPr="001C1A9F">
        <w:rPr>
          <w:sz w:val="24"/>
          <w:szCs w:val="24"/>
        </w:rPr>
        <w:t>behaviour</w:t>
      </w:r>
      <w:proofErr w:type="spellEnd"/>
      <w:r w:rsidRPr="001C1A9F">
        <w:rPr>
          <w:sz w:val="24"/>
          <w:szCs w:val="24"/>
        </w:rPr>
        <w:t xml:space="preserve"> were correlated with key microstructural features, including grain size, distribution of stacking faults, and internal strain heterogeneity. The results reveal that the heterogeneous distribution of internal strain within the complex microstructure plays a crucial role in determining the overall performance of low-alloyed</w:t>
      </w:r>
      <w:r w:rsidRPr="001C1A9F">
        <w:rPr>
          <w:spacing w:val="80"/>
          <w:sz w:val="24"/>
          <w:szCs w:val="24"/>
        </w:rPr>
        <w:t xml:space="preserve"> </w:t>
      </w:r>
      <w:r w:rsidRPr="001C1A9F">
        <w:rPr>
          <w:sz w:val="24"/>
          <w:szCs w:val="24"/>
        </w:rPr>
        <w:t>RSRC Mg alloys.</w:t>
      </w:r>
    </w:p>
    <w:p w14:paraId="4C030543" w14:textId="77777777" w:rsidR="00282901" w:rsidRPr="001C1A9F" w:rsidRDefault="00282901" w:rsidP="001C1A9F">
      <w:pPr>
        <w:pStyle w:val="BodyText"/>
        <w:spacing w:before="14"/>
        <w:ind w:left="0"/>
        <w:jc w:val="left"/>
        <w:rPr>
          <w:sz w:val="24"/>
          <w:szCs w:val="24"/>
        </w:rPr>
      </w:pPr>
    </w:p>
    <w:sectPr w:rsidR="00282901" w:rsidRPr="001C1A9F">
      <w:pgSz w:w="12240" w:h="15840"/>
      <w:pgMar w:top="154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82901"/>
    <w:rsid w:val="001C1A9F"/>
    <w:rsid w:val="00282901"/>
    <w:rsid w:val="00510C58"/>
    <w:rsid w:val="00ED3025"/>
    <w:rsid w:val="00FA2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FF52"/>
  <w15:docId w15:val="{01291D0D-057D-4BF9-A45E-B409F202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right="10"/>
      <w:jc w:val="center"/>
      <w:outlineLvl w:val="0"/>
    </w:pPr>
    <w:rPr>
      <w:b/>
      <w:bCs/>
      <w:sz w:val="26"/>
      <w:szCs w:val="26"/>
    </w:rPr>
  </w:style>
  <w:style w:type="paragraph" w:styleId="Heading2">
    <w:name w:val="heading 2"/>
    <w:basedOn w:val="Normal"/>
    <w:uiPriority w:val="9"/>
    <w:unhideWhenUsed/>
    <w:qFormat/>
    <w:pPr>
      <w:ind w:left="7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
      <w:jc w:val="both"/>
    </w:p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Drozdenko_ICMSN_2026.docx</dc:title>
  <dc:creator>Daria Drozdenko</dc:creator>
  <cp:lastModifiedBy>ICMSN 2027 at Rome</cp:lastModifiedBy>
  <cp:revision>3</cp:revision>
  <dcterms:created xsi:type="dcterms:W3CDTF">2026-05-08T11:53:00Z</dcterms:created>
  <dcterms:modified xsi:type="dcterms:W3CDTF">2026-07-13T13:20:00Z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LastSaved">
    <vt:filetime>2026-05-08T00:00:00Z</vt:filetime>
  </property>
  <property fmtid="{D5CDD505-2E9C-101B-9397-08002B2CF9AE}" pid="5" name="Producer">
    <vt:lpwstr>Microsoft: Print To PDF</vt:lpwstr>
  </property>
</Properties>
</file>