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09885" w14:textId="77777777" w:rsidR="00BE2BB0" w:rsidRDefault="00BE2BB0" w:rsidP="00BE2BB0">
      <w:pPr>
        <w:pStyle w:val="Heading2"/>
        <w:spacing w:line="242" w:lineRule="auto"/>
      </w:pPr>
      <w:r>
        <w:t>Analysis</w:t>
      </w:r>
      <w:r>
        <w:rPr>
          <w:spacing w:val="-6"/>
        </w:rPr>
        <w:t xml:space="preserve"> </w:t>
      </w:r>
      <w:r>
        <w:t>of</w:t>
      </w:r>
      <w:r>
        <w:rPr>
          <w:spacing w:val="-5"/>
        </w:rPr>
        <w:t xml:space="preserve"> </w:t>
      </w:r>
      <w:r>
        <w:t>Magnetron</w:t>
      </w:r>
      <w:r>
        <w:rPr>
          <w:spacing w:val="-9"/>
        </w:rPr>
        <w:t xml:space="preserve"> </w:t>
      </w:r>
      <w:r>
        <w:t>Deposition</w:t>
      </w:r>
      <w:r>
        <w:rPr>
          <w:spacing w:val="-5"/>
        </w:rPr>
        <w:t xml:space="preserve"> </w:t>
      </w:r>
      <w:r>
        <w:t>of</w:t>
      </w:r>
      <w:r>
        <w:rPr>
          <w:spacing w:val="-6"/>
        </w:rPr>
        <w:t xml:space="preserve"> </w:t>
      </w:r>
      <w:r>
        <w:t>Sandwich Multilayer Coating on Chrome-Nickel Steel</w:t>
      </w:r>
    </w:p>
    <w:p w14:paraId="3B27E1BC" w14:textId="77777777" w:rsidR="00BE2BB0" w:rsidRPr="006B66FF" w:rsidRDefault="00BE2BB0" w:rsidP="00BE2BB0">
      <w:pPr>
        <w:spacing w:before="270"/>
        <w:ind w:left="2" w:right="1"/>
        <w:rPr>
          <w:b/>
          <w:bCs/>
          <w:iCs/>
          <w:sz w:val="24"/>
        </w:rPr>
      </w:pPr>
      <w:r w:rsidRPr="006B66FF">
        <w:rPr>
          <w:b/>
          <w:bCs/>
          <w:iCs/>
          <w:sz w:val="24"/>
        </w:rPr>
        <w:t>Jan</w:t>
      </w:r>
      <w:r w:rsidRPr="006B66FF">
        <w:rPr>
          <w:b/>
          <w:bCs/>
          <w:iCs/>
          <w:spacing w:val="-1"/>
          <w:sz w:val="24"/>
        </w:rPr>
        <w:t xml:space="preserve"> </w:t>
      </w:r>
      <w:r w:rsidRPr="006B66FF">
        <w:rPr>
          <w:b/>
          <w:bCs/>
          <w:iCs/>
          <w:sz w:val="24"/>
        </w:rPr>
        <w:t>Novotný</w:t>
      </w:r>
      <w:r>
        <w:rPr>
          <w:b/>
          <w:bCs/>
          <w:iCs/>
          <w:sz w:val="24"/>
        </w:rPr>
        <w:t>,</w:t>
      </w:r>
      <w:r w:rsidRPr="006B66FF">
        <w:rPr>
          <w:b/>
          <w:bCs/>
          <w:iCs/>
          <w:spacing w:val="-3"/>
          <w:sz w:val="24"/>
        </w:rPr>
        <w:t xml:space="preserve"> </w:t>
      </w:r>
      <w:r w:rsidRPr="006B66FF">
        <w:rPr>
          <w:iCs/>
          <w:sz w:val="24"/>
        </w:rPr>
        <w:t xml:space="preserve">Stefan </w:t>
      </w:r>
      <w:r w:rsidRPr="006B66FF">
        <w:rPr>
          <w:iCs/>
          <w:spacing w:val="-2"/>
          <w:sz w:val="24"/>
        </w:rPr>
        <w:t>Michna</w:t>
      </w:r>
    </w:p>
    <w:p w14:paraId="040BC4B7" w14:textId="77777777" w:rsidR="00BE2BB0" w:rsidRPr="006B66FF" w:rsidRDefault="00BE2BB0" w:rsidP="00BE2BB0">
      <w:pPr>
        <w:pStyle w:val="BodyText"/>
        <w:spacing w:before="137" w:line="360" w:lineRule="auto"/>
        <w:ind w:left="6" w:right="5"/>
        <w:rPr>
          <w:i/>
          <w:iCs/>
        </w:rPr>
      </w:pPr>
      <w:r w:rsidRPr="006B66FF">
        <w:rPr>
          <w:i/>
          <w:iCs/>
        </w:rPr>
        <w:t>Faculty</w:t>
      </w:r>
      <w:r w:rsidRPr="006B66FF">
        <w:rPr>
          <w:i/>
          <w:iCs/>
          <w:spacing w:val="-4"/>
        </w:rPr>
        <w:t xml:space="preserve"> </w:t>
      </w:r>
      <w:r w:rsidRPr="006B66FF">
        <w:rPr>
          <w:i/>
          <w:iCs/>
        </w:rPr>
        <w:t>of</w:t>
      </w:r>
      <w:r w:rsidRPr="006B66FF">
        <w:rPr>
          <w:i/>
          <w:iCs/>
          <w:spacing w:val="-4"/>
        </w:rPr>
        <w:t xml:space="preserve"> </w:t>
      </w:r>
      <w:r w:rsidRPr="006B66FF">
        <w:rPr>
          <w:i/>
          <w:iCs/>
        </w:rPr>
        <w:t>Mechanical</w:t>
      </w:r>
      <w:r w:rsidRPr="006B66FF">
        <w:rPr>
          <w:i/>
          <w:iCs/>
          <w:spacing w:val="-4"/>
        </w:rPr>
        <w:t xml:space="preserve"> </w:t>
      </w:r>
      <w:r w:rsidRPr="006B66FF">
        <w:rPr>
          <w:i/>
          <w:iCs/>
        </w:rPr>
        <w:t>Engineering,</w:t>
      </w:r>
      <w:r w:rsidRPr="006B66FF">
        <w:rPr>
          <w:i/>
          <w:iCs/>
          <w:spacing w:val="-4"/>
        </w:rPr>
        <w:t xml:space="preserve"> </w:t>
      </w:r>
      <w:r w:rsidRPr="006B66FF">
        <w:rPr>
          <w:i/>
          <w:iCs/>
        </w:rPr>
        <w:t>Jan</w:t>
      </w:r>
      <w:r w:rsidRPr="006B66FF">
        <w:rPr>
          <w:i/>
          <w:iCs/>
          <w:spacing w:val="-4"/>
        </w:rPr>
        <w:t xml:space="preserve"> </w:t>
      </w:r>
      <w:r w:rsidRPr="006B66FF">
        <w:rPr>
          <w:i/>
          <w:iCs/>
        </w:rPr>
        <w:t>Evangelista</w:t>
      </w:r>
      <w:r w:rsidRPr="006B66FF">
        <w:rPr>
          <w:i/>
          <w:iCs/>
          <w:spacing w:val="-4"/>
        </w:rPr>
        <w:t xml:space="preserve"> </w:t>
      </w:r>
      <w:r w:rsidRPr="006B66FF">
        <w:rPr>
          <w:i/>
          <w:iCs/>
        </w:rPr>
        <w:t>Purkyne</w:t>
      </w:r>
      <w:r w:rsidRPr="006B66FF">
        <w:rPr>
          <w:i/>
          <w:iCs/>
          <w:spacing w:val="-5"/>
        </w:rPr>
        <w:t xml:space="preserve"> </w:t>
      </w:r>
      <w:r w:rsidRPr="006B66FF">
        <w:rPr>
          <w:i/>
          <w:iCs/>
        </w:rPr>
        <w:t>University</w:t>
      </w:r>
      <w:r w:rsidRPr="006B66FF">
        <w:rPr>
          <w:i/>
          <w:iCs/>
          <w:spacing w:val="-4"/>
        </w:rPr>
        <w:t xml:space="preserve"> </w:t>
      </w:r>
      <w:r w:rsidRPr="006B66FF">
        <w:rPr>
          <w:i/>
          <w:iCs/>
        </w:rPr>
        <w:t>in</w:t>
      </w:r>
      <w:r w:rsidRPr="006B66FF">
        <w:rPr>
          <w:i/>
          <w:iCs/>
          <w:spacing w:val="-4"/>
        </w:rPr>
        <w:t xml:space="preserve"> </w:t>
      </w:r>
      <w:r w:rsidRPr="006B66FF">
        <w:rPr>
          <w:i/>
          <w:iCs/>
        </w:rPr>
        <w:t>Ústí</w:t>
      </w:r>
      <w:r w:rsidRPr="006B66FF">
        <w:rPr>
          <w:i/>
          <w:iCs/>
          <w:spacing w:val="-4"/>
        </w:rPr>
        <w:t xml:space="preserve"> </w:t>
      </w:r>
      <w:proofErr w:type="spellStart"/>
      <w:r w:rsidRPr="006B66FF">
        <w:rPr>
          <w:i/>
          <w:iCs/>
        </w:rPr>
        <w:t>nad</w:t>
      </w:r>
      <w:proofErr w:type="spellEnd"/>
      <w:r w:rsidRPr="006B66FF">
        <w:rPr>
          <w:i/>
          <w:iCs/>
          <w:spacing w:val="-4"/>
        </w:rPr>
        <w:t xml:space="preserve"> </w:t>
      </w:r>
      <w:r w:rsidRPr="006B66FF">
        <w:rPr>
          <w:i/>
          <w:iCs/>
        </w:rPr>
        <w:t xml:space="preserve">Labem </w:t>
      </w:r>
    </w:p>
    <w:p w14:paraId="528644AC" w14:textId="77777777" w:rsidR="00BE2BB0" w:rsidRDefault="00BE2BB0" w:rsidP="00BE2BB0">
      <w:pPr>
        <w:pStyle w:val="BodyText"/>
        <w:spacing w:before="140"/>
      </w:pPr>
    </w:p>
    <w:p w14:paraId="04054A10" w14:textId="77777777" w:rsidR="00BE2BB0" w:rsidRDefault="00BE2BB0" w:rsidP="00BE2BB0">
      <w:pPr>
        <w:pStyle w:val="Heading3"/>
      </w:pPr>
      <w:r>
        <w:rPr>
          <w:spacing w:val="-2"/>
        </w:rPr>
        <w:t>ABSTRACT:</w:t>
      </w:r>
    </w:p>
    <w:p w14:paraId="59F6F78A" w14:textId="77777777" w:rsidR="00BE2BB0" w:rsidRDefault="00BE2BB0" w:rsidP="00BE2BB0">
      <w:pPr>
        <w:pStyle w:val="BodyText"/>
        <w:rPr>
          <w:b/>
        </w:rPr>
      </w:pPr>
    </w:p>
    <w:p w14:paraId="72835E05" w14:textId="77777777" w:rsidR="00BE2BB0" w:rsidRDefault="00BE2BB0" w:rsidP="00BE2BB0">
      <w:pPr>
        <w:pStyle w:val="BodyText"/>
        <w:ind w:left="23" w:right="17"/>
        <w:jc w:val="both"/>
      </w:pPr>
      <w:proofErr w:type="gramStart"/>
      <w:r>
        <w:t>A quality</w:t>
      </w:r>
      <w:proofErr w:type="gramEnd"/>
      <w:r>
        <w:t xml:space="preserve"> of </w:t>
      </w:r>
      <w:proofErr w:type="gramStart"/>
      <w:r>
        <w:t>a tool</w:t>
      </w:r>
      <w:proofErr w:type="gramEnd"/>
      <w:r>
        <w:t xml:space="preserve"> parts coating can ensure a quality workpiece surface for both users and manufacturers.</w:t>
      </w:r>
      <w:r>
        <w:rPr>
          <w:spacing w:val="-5"/>
        </w:rPr>
        <w:t xml:space="preserve"> </w:t>
      </w:r>
      <w:r>
        <w:t>The</w:t>
      </w:r>
      <w:r>
        <w:rPr>
          <w:spacing w:val="-6"/>
        </w:rPr>
        <w:t xml:space="preserve"> </w:t>
      </w:r>
      <w:r>
        <w:t>idea</w:t>
      </w:r>
      <w:r>
        <w:rPr>
          <w:spacing w:val="-2"/>
        </w:rPr>
        <w:t xml:space="preserve"> </w:t>
      </w:r>
      <w:r>
        <w:t>of</w:t>
      </w:r>
      <w:r>
        <w:rPr>
          <w:spacing w:val="-6"/>
        </w:rPr>
        <w:t xml:space="preserve"> </w:t>
      </w:r>
      <w:r>
        <w:t>combining</w:t>
      </w:r>
      <w:r>
        <w:rPr>
          <w:spacing w:val="-4"/>
        </w:rPr>
        <w:t xml:space="preserve"> </w:t>
      </w:r>
      <w:r>
        <w:t>coatings</w:t>
      </w:r>
      <w:r>
        <w:rPr>
          <w:spacing w:val="-5"/>
        </w:rPr>
        <w:t xml:space="preserve"> </w:t>
      </w:r>
      <w:r>
        <w:t>into</w:t>
      </w:r>
      <w:r>
        <w:rPr>
          <w:spacing w:val="-5"/>
        </w:rPr>
        <w:t xml:space="preserve"> </w:t>
      </w:r>
      <w:r>
        <w:t>a</w:t>
      </w:r>
      <w:r>
        <w:rPr>
          <w:spacing w:val="-6"/>
        </w:rPr>
        <w:t xml:space="preserve"> </w:t>
      </w:r>
      <w:r>
        <w:t>multilayer</w:t>
      </w:r>
      <w:r>
        <w:rPr>
          <w:spacing w:val="-6"/>
        </w:rPr>
        <w:t xml:space="preserve"> </w:t>
      </w:r>
      <w:r>
        <w:t>was</w:t>
      </w:r>
      <w:r>
        <w:rPr>
          <w:spacing w:val="-5"/>
        </w:rPr>
        <w:t xml:space="preserve"> </w:t>
      </w:r>
      <w:r>
        <w:t>developed</w:t>
      </w:r>
      <w:r>
        <w:rPr>
          <w:spacing w:val="-5"/>
        </w:rPr>
        <w:t xml:space="preserve"> </w:t>
      </w:r>
      <w:r>
        <w:t>in</w:t>
      </w:r>
      <w:r>
        <w:rPr>
          <w:spacing w:val="-4"/>
        </w:rPr>
        <w:t xml:space="preserve"> </w:t>
      </w:r>
      <w:r>
        <w:t>response</w:t>
      </w:r>
      <w:r>
        <w:rPr>
          <w:spacing w:val="-6"/>
        </w:rPr>
        <w:t xml:space="preserve"> </w:t>
      </w:r>
      <w:r>
        <w:t xml:space="preserve">to industry demand to improve the mechanical properties of the resulting coating. The substrate material chosen was 100Cr6 chromium bearing steel. The aim is to analyze the results of measurement methods of magnetron deposition of surface </w:t>
      </w:r>
      <w:proofErr w:type="spellStart"/>
      <w:r>
        <w:t>TiAlN</w:t>
      </w:r>
      <w:proofErr w:type="spellEnd"/>
      <w:r>
        <w:t xml:space="preserve"> and TiB2 multilayers and their</w:t>
      </w:r>
      <w:r>
        <w:rPr>
          <w:spacing w:val="-9"/>
        </w:rPr>
        <w:t xml:space="preserve"> </w:t>
      </w:r>
      <w:r>
        <w:t>evaluation.</w:t>
      </w:r>
      <w:r>
        <w:rPr>
          <w:spacing w:val="-8"/>
        </w:rPr>
        <w:t xml:space="preserve"> </w:t>
      </w:r>
      <w:r>
        <w:t>The</w:t>
      </w:r>
      <w:r>
        <w:rPr>
          <w:spacing w:val="-9"/>
        </w:rPr>
        <w:t xml:space="preserve"> </w:t>
      </w:r>
      <w:r>
        <w:t>issues</w:t>
      </w:r>
      <w:r>
        <w:rPr>
          <w:spacing w:val="-8"/>
        </w:rPr>
        <w:t xml:space="preserve"> </w:t>
      </w:r>
      <w:r>
        <w:t>of</w:t>
      </w:r>
      <w:r>
        <w:rPr>
          <w:spacing w:val="-9"/>
        </w:rPr>
        <w:t xml:space="preserve"> </w:t>
      </w:r>
      <w:r>
        <w:t>PVD</w:t>
      </w:r>
      <w:r>
        <w:rPr>
          <w:spacing w:val="-9"/>
        </w:rPr>
        <w:t xml:space="preserve"> </w:t>
      </w:r>
      <w:r>
        <w:t>deposition,</w:t>
      </w:r>
      <w:r>
        <w:rPr>
          <w:spacing w:val="-11"/>
        </w:rPr>
        <w:t xml:space="preserve"> </w:t>
      </w:r>
      <w:r>
        <w:t>magnetron</w:t>
      </w:r>
      <w:r>
        <w:rPr>
          <w:spacing w:val="-9"/>
        </w:rPr>
        <w:t xml:space="preserve"> </w:t>
      </w:r>
      <w:r>
        <w:t>sputtering,</w:t>
      </w:r>
      <w:r>
        <w:rPr>
          <w:spacing w:val="-9"/>
        </w:rPr>
        <w:t xml:space="preserve"> </w:t>
      </w:r>
      <w:r>
        <w:t>specifically</w:t>
      </w:r>
      <w:r>
        <w:rPr>
          <w:spacing w:val="-8"/>
        </w:rPr>
        <w:t xml:space="preserve"> </w:t>
      </w:r>
      <w:r>
        <w:t>the</w:t>
      </w:r>
      <w:r>
        <w:rPr>
          <w:spacing w:val="-9"/>
        </w:rPr>
        <w:t xml:space="preserve"> </w:t>
      </w:r>
      <w:proofErr w:type="spellStart"/>
      <w:r>
        <w:t>HiPIMS</w:t>
      </w:r>
      <w:proofErr w:type="spellEnd"/>
      <w:r>
        <w:t xml:space="preserve"> method, which is the method of deposition of the investigated multilayer. are described.</w:t>
      </w:r>
      <w:r>
        <w:br/>
      </w:r>
    </w:p>
    <w:p w14:paraId="34BACD71" w14:textId="77777777" w:rsidR="00BE2BB0" w:rsidRDefault="00BE2BB0" w:rsidP="00BE2BB0">
      <w:pPr>
        <w:pStyle w:val="BodyText"/>
        <w:ind w:left="23" w:right="19"/>
        <w:jc w:val="both"/>
      </w:pPr>
      <w:r>
        <w:t xml:space="preserve">The aim of the research activity was to prove the improvement of the properties of the multilayer while maintaining the conditions. Firstly, the individual </w:t>
      </w:r>
      <w:proofErr w:type="spellStart"/>
      <w:r>
        <w:t>TiAlN</w:t>
      </w:r>
      <w:proofErr w:type="spellEnd"/>
      <w:r>
        <w:t xml:space="preserve"> and TiB2 coatings and</w:t>
      </w:r>
      <w:r>
        <w:rPr>
          <w:spacing w:val="-11"/>
        </w:rPr>
        <w:t xml:space="preserve"> </w:t>
      </w:r>
      <w:r>
        <w:t>their</w:t>
      </w:r>
      <w:r>
        <w:rPr>
          <w:spacing w:val="-11"/>
        </w:rPr>
        <w:t xml:space="preserve"> </w:t>
      </w:r>
      <w:r>
        <w:t>composition</w:t>
      </w:r>
      <w:r>
        <w:rPr>
          <w:spacing w:val="-10"/>
        </w:rPr>
        <w:t xml:space="preserve"> </w:t>
      </w:r>
      <w:r>
        <w:t>were</w:t>
      </w:r>
      <w:r>
        <w:rPr>
          <w:spacing w:val="-12"/>
        </w:rPr>
        <w:t xml:space="preserve"> </w:t>
      </w:r>
      <w:r>
        <w:t>analyzed</w:t>
      </w:r>
      <w:r>
        <w:rPr>
          <w:spacing w:val="-11"/>
        </w:rPr>
        <w:t xml:space="preserve"> </w:t>
      </w:r>
      <w:r>
        <w:t>using</w:t>
      </w:r>
      <w:r>
        <w:rPr>
          <w:spacing w:val="-10"/>
        </w:rPr>
        <w:t xml:space="preserve"> </w:t>
      </w:r>
      <w:r>
        <w:t>glow</w:t>
      </w:r>
      <w:r>
        <w:rPr>
          <w:spacing w:val="-11"/>
        </w:rPr>
        <w:t xml:space="preserve"> </w:t>
      </w:r>
      <w:r>
        <w:t>discharge</w:t>
      </w:r>
      <w:r>
        <w:rPr>
          <w:spacing w:val="-12"/>
        </w:rPr>
        <w:t xml:space="preserve"> </w:t>
      </w:r>
      <w:r>
        <w:t>spectroscopy</w:t>
      </w:r>
      <w:r>
        <w:rPr>
          <w:spacing w:val="-11"/>
        </w:rPr>
        <w:t xml:space="preserve"> </w:t>
      </w:r>
      <w:r>
        <w:t>and</w:t>
      </w:r>
      <w:r>
        <w:rPr>
          <w:spacing w:val="-9"/>
        </w:rPr>
        <w:t xml:space="preserve"> </w:t>
      </w:r>
      <w:r>
        <w:t>X-ray</w:t>
      </w:r>
      <w:r>
        <w:rPr>
          <w:spacing w:val="-11"/>
        </w:rPr>
        <w:t xml:space="preserve"> </w:t>
      </w:r>
      <w:r>
        <w:t xml:space="preserve">diffraction. Then the multilayer was analyzed. There were positive findings, such as a </w:t>
      </w:r>
      <w:proofErr w:type="gramStart"/>
      <w:r>
        <w:t>really significant</w:t>
      </w:r>
      <w:proofErr w:type="gramEnd"/>
      <w:r>
        <w:t xml:space="preserve"> increase in the microhardness of the coated layers. The microhardness was double that of the reference uncoated sample. In addition, the thickness of the individual coatings and the resulting multilayer conforms to the requirements and thus there is no influence on the dimensional properties. The linear analysis showed a good interconnection between the individual coatings as well as between the coating and the substrate. Tribological testing revealed</w:t>
      </w:r>
      <w:r>
        <w:rPr>
          <w:spacing w:val="-8"/>
        </w:rPr>
        <w:t xml:space="preserve"> </w:t>
      </w:r>
      <w:r>
        <w:t>an</w:t>
      </w:r>
      <w:r>
        <w:rPr>
          <w:spacing w:val="-8"/>
        </w:rPr>
        <w:t xml:space="preserve"> </w:t>
      </w:r>
      <w:r>
        <w:t>improvement</w:t>
      </w:r>
      <w:r>
        <w:rPr>
          <w:spacing w:val="-6"/>
        </w:rPr>
        <w:t xml:space="preserve"> </w:t>
      </w:r>
      <w:r>
        <w:t>in</w:t>
      </w:r>
      <w:r>
        <w:rPr>
          <w:spacing w:val="-8"/>
        </w:rPr>
        <w:t xml:space="preserve"> </w:t>
      </w:r>
      <w:r>
        <w:t>abrasion</w:t>
      </w:r>
      <w:r>
        <w:rPr>
          <w:spacing w:val="-8"/>
        </w:rPr>
        <w:t xml:space="preserve"> </w:t>
      </w:r>
      <w:r>
        <w:t>resistance.</w:t>
      </w:r>
      <w:r>
        <w:rPr>
          <w:spacing w:val="-6"/>
        </w:rPr>
        <w:t xml:space="preserve"> </w:t>
      </w:r>
      <w:r>
        <w:t>It</w:t>
      </w:r>
      <w:r>
        <w:rPr>
          <w:spacing w:val="-5"/>
        </w:rPr>
        <w:t xml:space="preserve"> </w:t>
      </w:r>
      <w:r>
        <w:t>can</w:t>
      </w:r>
      <w:r>
        <w:rPr>
          <w:spacing w:val="-8"/>
        </w:rPr>
        <w:t xml:space="preserve"> </w:t>
      </w:r>
      <w:r>
        <w:t>also</w:t>
      </w:r>
      <w:r>
        <w:rPr>
          <w:spacing w:val="-8"/>
        </w:rPr>
        <w:t xml:space="preserve"> </w:t>
      </w:r>
      <w:r>
        <w:t>be</w:t>
      </w:r>
      <w:r>
        <w:rPr>
          <w:spacing w:val="-9"/>
        </w:rPr>
        <w:t xml:space="preserve"> </w:t>
      </w:r>
      <w:r>
        <w:t>concluded</w:t>
      </w:r>
      <w:r>
        <w:rPr>
          <w:spacing w:val="-9"/>
        </w:rPr>
        <w:t xml:space="preserve"> </w:t>
      </w:r>
      <w:r>
        <w:t>from</w:t>
      </w:r>
      <w:r>
        <w:rPr>
          <w:spacing w:val="-8"/>
        </w:rPr>
        <w:t xml:space="preserve"> </w:t>
      </w:r>
      <w:r>
        <w:t>this</w:t>
      </w:r>
      <w:r>
        <w:rPr>
          <w:spacing w:val="-8"/>
        </w:rPr>
        <w:t xml:space="preserve"> </w:t>
      </w:r>
      <w:r>
        <w:t>test</w:t>
      </w:r>
      <w:r>
        <w:rPr>
          <w:spacing w:val="-10"/>
        </w:rPr>
        <w:t xml:space="preserve"> </w:t>
      </w:r>
      <w:r>
        <w:t>that</w:t>
      </w:r>
      <w:r>
        <w:rPr>
          <w:spacing w:val="-8"/>
        </w:rPr>
        <w:t xml:space="preserve"> </w:t>
      </w:r>
      <w:r>
        <w:t>the improvement in the mechanical properties mentioned above occurred while maintaining the frictional</w:t>
      </w:r>
      <w:r>
        <w:rPr>
          <w:spacing w:val="-7"/>
        </w:rPr>
        <w:t xml:space="preserve"> </w:t>
      </w:r>
      <w:r>
        <w:t>conditions.</w:t>
      </w:r>
      <w:r>
        <w:rPr>
          <w:spacing w:val="40"/>
        </w:rPr>
        <w:t xml:space="preserve"> </w:t>
      </w:r>
      <w:r>
        <w:t>Thus,</w:t>
      </w:r>
      <w:r>
        <w:rPr>
          <w:spacing w:val="-7"/>
        </w:rPr>
        <w:t xml:space="preserve"> </w:t>
      </w:r>
      <w:r>
        <w:t>the</w:t>
      </w:r>
      <w:r>
        <w:rPr>
          <w:spacing w:val="-8"/>
        </w:rPr>
        <w:t xml:space="preserve"> </w:t>
      </w:r>
      <w:r>
        <w:t>deposition</w:t>
      </w:r>
      <w:r>
        <w:rPr>
          <w:spacing w:val="-7"/>
        </w:rPr>
        <w:t xml:space="preserve"> </w:t>
      </w:r>
      <w:r>
        <w:t>of</w:t>
      </w:r>
      <w:r>
        <w:rPr>
          <w:spacing w:val="-8"/>
        </w:rPr>
        <w:t xml:space="preserve"> </w:t>
      </w:r>
      <w:r>
        <w:t>these</w:t>
      </w:r>
      <w:r>
        <w:rPr>
          <w:spacing w:val="-8"/>
        </w:rPr>
        <w:t xml:space="preserve"> </w:t>
      </w:r>
      <w:r>
        <w:t>coatings</w:t>
      </w:r>
      <w:r>
        <w:rPr>
          <w:spacing w:val="-7"/>
        </w:rPr>
        <w:t xml:space="preserve"> </w:t>
      </w:r>
      <w:r>
        <w:t>on</w:t>
      </w:r>
      <w:r>
        <w:rPr>
          <w:spacing w:val="-7"/>
        </w:rPr>
        <w:t xml:space="preserve"> </w:t>
      </w:r>
      <w:r>
        <w:t>top</w:t>
      </w:r>
      <w:r>
        <w:rPr>
          <w:spacing w:val="-7"/>
        </w:rPr>
        <w:t xml:space="preserve"> </w:t>
      </w:r>
      <w:r>
        <w:t>of</w:t>
      </w:r>
      <w:r>
        <w:rPr>
          <w:spacing w:val="-8"/>
        </w:rPr>
        <w:t xml:space="preserve"> </w:t>
      </w:r>
      <w:r>
        <w:t>each</w:t>
      </w:r>
      <w:r>
        <w:rPr>
          <w:spacing w:val="-5"/>
        </w:rPr>
        <w:t xml:space="preserve"> </w:t>
      </w:r>
      <w:r>
        <w:t>other</w:t>
      </w:r>
      <w:r>
        <w:rPr>
          <w:spacing w:val="-8"/>
        </w:rPr>
        <w:t xml:space="preserve"> </w:t>
      </w:r>
      <w:r>
        <w:t>in</w:t>
      </w:r>
      <w:r>
        <w:rPr>
          <w:spacing w:val="-7"/>
        </w:rPr>
        <w:t xml:space="preserve"> </w:t>
      </w:r>
      <w:r>
        <w:t>a</w:t>
      </w:r>
      <w:r>
        <w:rPr>
          <w:spacing w:val="-8"/>
        </w:rPr>
        <w:t xml:space="preserve"> </w:t>
      </w:r>
      <w:r>
        <w:t xml:space="preserve">sandwich multilayer is possible, there is an excellent interlocking of the coatings for improved mechanical properties. The choice of </w:t>
      </w:r>
      <w:proofErr w:type="spellStart"/>
      <w:r>
        <w:t>TiAlN</w:t>
      </w:r>
      <w:proofErr w:type="spellEnd"/>
      <w:r>
        <w:t xml:space="preserve"> provides toughness, while the ceramics - TiB2 coating provides hardness.</w:t>
      </w:r>
    </w:p>
    <w:p w14:paraId="770441DA" w14:textId="77777777" w:rsidR="003B4ED5" w:rsidRDefault="003B4ED5"/>
    <w:sectPr w:rsidR="003B4E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4C5"/>
    <w:rsid w:val="000F128F"/>
    <w:rsid w:val="0014340C"/>
    <w:rsid w:val="003B4ED5"/>
    <w:rsid w:val="0051753B"/>
    <w:rsid w:val="005E54C5"/>
    <w:rsid w:val="0071776A"/>
    <w:rsid w:val="008E5079"/>
    <w:rsid w:val="00AB29DC"/>
    <w:rsid w:val="00BE2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8AEB15-FD0A-440F-8A6B-A0A6355AC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BB0"/>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5E54C5"/>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5E54C5"/>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5E54C5"/>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E54C5"/>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E54C5"/>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E54C5"/>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E54C5"/>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E54C5"/>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E54C5"/>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4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54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54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4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4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4C5"/>
    <w:rPr>
      <w:rFonts w:eastAsiaTheme="majorEastAsia" w:cstheme="majorBidi"/>
      <w:color w:val="272727" w:themeColor="text1" w:themeTint="D8"/>
    </w:rPr>
  </w:style>
  <w:style w:type="paragraph" w:styleId="Title">
    <w:name w:val="Title"/>
    <w:basedOn w:val="Normal"/>
    <w:next w:val="Normal"/>
    <w:link w:val="TitleChar"/>
    <w:uiPriority w:val="10"/>
    <w:qFormat/>
    <w:rsid w:val="005E54C5"/>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E5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4C5"/>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E5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4C5"/>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E54C5"/>
    <w:rPr>
      <w:i/>
      <w:iCs/>
      <w:color w:val="404040" w:themeColor="text1" w:themeTint="BF"/>
    </w:rPr>
  </w:style>
  <w:style w:type="paragraph" w:styleId="ListParagraph">
    <w:name w:val="List Paragraph"/>
    <w:basedOn w:val="Normal"/>
    <w:uiPriority w:val="34"/>
    <w:qFormat/>
    <w:rsid w:val="005E54C5"/>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E54C5"/>
    <w:rPr>
      <w:i/>
      <w:iCs/>
      <w:color w:val="0F4761" w:themeColor="accent1" w:themeShade="BF"/>
    </w:rPr>
  </w:style>
  <w:style w:type="paragraph" w:styleId="IntenseQuote">
    <w:name w:val="Intense Quote"/>
    <w:basedOn w:val="Normal"/>
    <w:next w:val="Normal"/>
    <w:link w:val="IntenseQuoteChar"/>
    <w:uiPriority w:val="30"/>
    <w:qFormat/>
    <w:rsid w:val="005E54C5"/>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E54C5"/>
    <w:rPr>
      <w:i/>
      <w:iCs/>
      <w:color w:val="0F4761" w:themeColor="accent1" w:themeShade="BF"/>
    </w:rPr>
  </w:style>
  <w:style w:type="character" w:styleId="IntenseReference">
    <w:name w:val="Intense Reference"/>
    <w:basedOn w:val="DefaultParagraphFont"/>
    <w:uiPriority w:val="32"/>
    <w:qFormat/>
    <w:rsid w:val="005E54C5"/>
    <w:rPr>
      <w:b/>
      <w:bCs/>
      <w:smallCaps/>
      <w:color w:val="0F4761" w:themeColor="accent1" w:themeShade="BF"/>
      <w:spacing w:val="5"/>
    </w:rPr>
  </w:style>
  <w:style w:type="paragraph" w:styleId="BodyText">
    <w:name w:val="Body Text"/>
    <w:basedOn w:val="Normal"/>
    <w:link w:val="BodyTextChar"/>
    <w:uiPriority w:val="1"/>
    <w:qFormat/>
    <w:rsid w:val="00BE2BB0"/>
    <w:rPr>
      <w:sz w:val="24"/>
      <w:szCs w:val="24"/>
    </w:rPr>
  </w:style>
  <w:style w:type="character" w:customStyle="1" w:styleId="BodyTextChar">
    <w:name w:val="Body Text Char"/>
    <w:basedOn w:val="DefaultParagraphFont"/>
    <w:link w:val="BodyText"/>
    <w:uiPriority w:val="1"/>
    <w:rsid w:val="00BE2BB0"/>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321</Words>
  <Characters>1830</Characters>
  <Application>Microsoft Office Word</Application>
  <DocSecurity>0</DocSecurity>
  <Lines>15</Lines>
  <Paragraphs>4</Paragraphs>
  <ScaleCrop>false</ScaleCrop>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ICMSN 2027 at Rome</dc:creator>
  <cp:keywords/>
  <dc:description/>
  <cp:lastModifiedBy>ICMSN 2027 at Rome</cp:lastModifiedBy>
  <cp:revision>2</cp:revision>
  <dcterms:created xsi:type="dcterms:W3CDTF">2026-07-13T13:12:00Z</dcterms:created>
  <dcterms:modified xsi:type="dcterms:W3CDTF">2026-07-13T13:17:00Z</dcterms:modified>
</cp:coreProperties>
</file>