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D787" w14:textId="77777777" w:rsidR="004766E5" w:rsidRDefault="00000000" w:rsidP="000E312C">
      <w:pPr>
        <w:pStyle w:val="Heading1"/>
        <w:ind w:left="0"/>
        <w:jc w:val="both"/>
      </w:pPr>
      <w:r>
        <w:t>Integrated</w:t>
      </w:r>
      <w:r>
        <w:rPr>
          <w:spacing w:val="-6"/>
        </w:rPr>
        <w:t xml:space="preserve"> </w:t>
      </w:r>
      <w:r>
        <w:t>hydrolysis</w:t>
      </w:r>
      <w:r>
        <w:rPr>
          <w:spacing w:val="-4"/>
        </w:rPr>
        <w:t xml:space="preserve"> </w:t>
      </w:r>
      <w:r>
        <w:t>of</w:t>
      </w:r>
      <w:r>
        <w:rPr>
          <w:spacing w:val="-7"/>
        </w:rPr>
        <w:t xml:space="preserve"> </w:t>
      </w:r>
      <w:r>
        <w:t>legume</w:t>
      </w:r>
      <w:r>
        <w:rPr>
          <w:spacing w:val="-4"/>
        </w:rPr>
        <w:t xml:space="preserve"> </w:t>
      </w:r>
      <w:r>
        <w:t>proteins</w:t>
      </w:r>
      <w:r>
        <w:rPr>
          <w:spacing w:val="-7"/>
        </w:rPr>
        <w:t xml:space="preserve"> </w:t>
      </w:r>
      <w:r>
        <w:t>with</w:t>
      </w:r>
      <w:r>
        <w:rPr>
          <w:spacing w:val="-4"/>
        </w:rPr>
        <w:t xml:space="preserve"> </w:t>
      </w:r>
      <w:r>
        <w:t>plant</w:t>
      </w:r>
      <w:r>
        <w:rPr>
          <w:spacing w:val="-2"/>
        </w:rPr>
        <w:t xml:space="preserve"> </w:t>
      </w:r>
      <w:r>
        <w:t>proteases</w:t>
      </w:r>
      <w:r>
        <w:rPr>
          <w:spacing w:val="-4"/>
        </w:rPr>
        <w:t xml:space="preserve"> </w:t>
      </w:r>
      <w:r>
        <w:t>generates oligopeptide-rich functional ingredients with superior bioactivity</w:t>
      </w:r>
    </w:p>
    <w:p w14:paraId="79BB3D84" w14:textId="77777777" w:rsidR="004766E5" w:rsidRPr="000E312C" w:rsidRDefault="00000000" w:rsidP="000E312C">
      <w:pPr>
        <w:spacing w:before="275"/>
        <w:ind w:left="1"/>
        <w:jc w:val="both"/>
        <w:rPr>
          <w:iCs/>
          <w:sz w:val="24"/>
        </w:rPr>
      </w:pPr>
      <w:r w:rsidRPr="000E312C">
        <w:rPr>
          <w:b/>
          <w:bCs/>
          <w:iCs/>
          <w:sz w:val="24"/>
        </w:rPr>
        <w:t>Tarek</w:t>
      </w:r>
      <w:r w:rsidRPr="000E312C">
        <w:rPr>
          <w:b/>
          <w:bCs/>
          <w:iCs/>
          <w:spacing w:val="-2"/>
          <w:sz w:val="24"/>
        </w:rPr>
        <w:t xml:space="preserve"> </w:t>
      </w:r>
      <w:r w:rsidRPr="000E312C">
        <w:rPr>
          <w:b/>
          <w:bCs/>
          <w:iCs/>
          <w:sz w:val="24"/>
        </w:rPr>
        <w:t>Alshaal</w:t>
      </w:r>
      <w:r w:rsidRPr="000E312C">
        <w:rPr>
          <w:iCs/>
          <w:sz w:val="24"/>
        </w:rPr>
        <w:t>,</w:t>
      </w:r>
      <w:r w:rsidRPr="000E312C">
        <w:rPr>
          <w:iCs/>
          <w:spacing w:val="1"/>
          <w:sz w:val="24"/>
        </w:rPr>
        <w:t xml:space="preserve"> </w:t>
      </w:r>
      <w:proofErr w:type="spellStart"/>
      <w:r w:rsidRPr="000E312C">
        <w:rPr>
          <w:iCs/>
          <w:sz w:val="24"/>
        </w:rPr>
        <w:t>Nevien</w:t>
      </w:r>
      <w:proofErr w:type="spellEnd"/>
      <w:r w:rsidRPr="000E312C">
        <w:rPr>
          <w:iCs/>
          <w:spacing w:val="-2"/>
          <w:sz w:val="24"/>
        </w:rPr>
        <w:t xml:space="preserve"> </w:t>
      </w:r>
      <w:proofErr w:type="spellStart"/>
      <w:r w:rsidRPr="000E312C">
        <w:rPr>
          <w:iCs/>
          <w:sz w:val="24"/>
        </w:rPr>
        <w:t>Elhawat</w:t>
      </w:r>
      <w:proofErr w:type="spellEnd"/>
      <w:r w:rsidRPr="000E312C">
        <w:rPr>
          <w:iCs/>
          <w:sz w:val="24"/>
        </w:rPr>
        <w:t>,</w:t>
      </w:r>
      <w:r w:rsidRPr="000E312C">
        <w:rPr>
          <w:iCs/>
          <w:spacing w:val="1"/>
          <w:sz w:val="24"/>
        </w:rPr>
        <w:t xml:space="preserve"> </w:t>
      </w:r>
      <w:r w:rsidRPr="000E312C">
        <w:rPr>
          <w:iCs/>
          <w:sz w:val="24"/>
        </w:rPr>
        <w:t>Attila</w:t>
      </w:r>
      <w:r w:rsidRPr="000E312C">
        <w:rPr>
          <w:iCs/>
          <w:spacing w:val="-2"/>
          <w:sz w:val="24"/>
        </w:rPr>
        <w:t xml:space="preserve"> </w:t>
      </w:r>
      <w:r w:rsidRPr="000E312C">
        <w:rPr>
          <w:iCs/>
          <w:spacing w:val="-4"/>
          <w:sz w:val="24"/>
        </w:rPr>
        <w:t>Kiss</w:t>
      </w:r>
    </w:p>
    <w:p w14:paraId="1F33EB3D" w14:textId="77777777" w:rsidR="004766E5" w:rsidRPr="000E312C" w:rsidRDefault="00000000" w:rsidP="000E312C">
      <w:pPr>
        <w:pStyle w:val="BodyText"/>
        <w:spacing w:before="139"/>
        <w:ind w:left="2"/>
        <w:jc w:val="both"/>
        <w:rPr>
          <w:i/>
          <w:iCs/>
        </w:rPr>
      </w:pPr>
      <w:r w:rsidRPr="000E312C">
        <w:rPr>
          <w:i/>
          <w:iCs/>
        </w:rPr>
        <w:t>Department</w:t>
      </w:r>
      <w:r w:rsidRPr="000E312C">
        <w:rPr>
          <w:i/>
          <w:iCs/>
          <w:spacing w:val="-6"/>
        </w:rPr>
        <w:t xml:space="preserve"> </w:t>
      </w:r>
      <w:r w:rsidRPr="000E312C">
        <w:rPr>
          <w:i/>
          <w:iCs/>
        </w:rPr>
        <w:t>of</w:t>
      </w:r>
      <w:r w:rsidRPr="000E312C">
        <w:rPr>
          <w:i/>
          <w:iCs/>
          <w:spacing w:val="-4"/>
        </w:rPr>
        <w:t xml:space="preserve"> </w:t>
      </w:r>
      <w:r w:rsidRPr="000E312C">
        <w:rPr>
          <w:i/>
          <w:iCs/>
        </w:rPr>
        <w:t>Food</w:t>
      </w:r>
      <w:r w:rsidRPr="000E312C">
        <w:rPr>
          <w:i/>
          <w:iCs/>
          <w:spacing w:val="-6"/>
        </w:rPr>
        <w:t xml:space="preserve"> </w:t>
      </w:r>
      <w:r w:rsidRPr="000E312C">
        <w:rPr>
          <w:i/>
          <w:iCs/>
        </w:rPr>
        <w:t>Biotechnology,</w:t>
      </w:r>
      <w:r w:rsidRPr="000E312C">
        <w:rPr>
          <w:i/>
          <w:iCs/>
          <w:spacing w:val="-6"/>
        </w:rPr>
        <w:t xml:space="preserve"> </w:t>
      </w:r>
      <w:r w:rsidRPr="000E312C">
        <w:rPr>
          <w:i/>
          <w:iCs/>
        </w:rPr>
        <w:t>Albert</w:t>
      </w:r>
      <w:r w:rsidRPr="000E312C">
        <w:rPr>
          <w:i/>
          <w:iCs/>
          <w:spacing w:val="-4"/>
        </w:rPr>
        <w:t xml:space="preserve"> </w:t>
      </w:r>
      <w:r w:rsidRPr="000E312C">
        <w:rPr>
          <w:i/>
          <w:iCs/>
        </w:rPr>
        <w:t>Kázmér</w:t>
      </w:r>
      <w:r w:rsidRPr="000E312C">
        <w:rPr>
          <w:i/>
          <w:iCs/>
          <w:spacing w:val="-6"/>
        </w:rPr>
        <w:t xml:space="preserve"> </w:t>
      </w:r>
      <w:proofErr w:type="spellStart"/>
      <w:r w:rsidRPr="000E312C">
        <w:rPr>
          <w:i/>
          <w:iCs/>
        </w:rPr>
        <w:t>Mosonmagyaróvár</w:t>
      </w:r>
      <w:proofErr w:type="spellEnd"/>
      <w:r w:rsidRPr="000E312C">
        <w:rPr>
          <w:i/>
          <w:iCs/>
          <w:spacing w:val="-4"/>
        </w:rPr>
        <w:t xml:space="preserve"> </w:t>
      </w:r>
      <w:r w:rsidRPr="000E312C">
        <w:rPr>
          <w:i/>
          <w:iCs/>
        </w:rPr>
        <w:t>Faculty,</w:t>
      </w:r>
      <w:r w:rsidRPr="000E312C">
        <w:rPr>
          <w:i/>
          <w:iCs/>
          <w:spacing w:val="-6"/>
        </w:rPr>
        <w:t xml:space="preserve"> </w:t>
      </w:r>
      <w:r w:rsidRPr="000E312C">
        <w:rPr>
          <w:i/>
          <w:iCs/>
        </w:rPr>
        <w:t xml:space="preserve">Széchenyi István University, H-9200 </w:t>
      </w:r>
      <w:proofErr w:type="spellStart"/>
      <w:r w:rsidRPr="000E312C">
        <w:rPr>
          <w:i/>
          <w:iCs/>
        </w:rPr>
        <w:t>Mosonmagyaróvár</w:t>
      </w:r>
      <w:proofErr w:type="spellEnd"/>
      <w:r w:rsidRPr="000E312C">
        <w:rPr>
          <w:i/>
          <w:iCs/>
        </w:rPr>
        <w:t>, Hungary</w:t>
      </w:r>
    </w:p>
    <w:p w14:paraId="6D20D233" w14:textId="77777777" w:rsidR="004766E5" w:rsidRDefault="004766E5" w:rsidP="000E312C">
      <w:pPr>
        <w:pStyle w:val="BodyText"/>
        <w:jc w:val="both"/>
        <w:rPr>
          <w:b/>
        </w:rPr>
      </w:pPr>
    </w:p>
    <w:p w14:paraId="1F2CF16E" w14:textId="77777777" w:rsidR="004766E5" w:rsidRDefault="00000000" w:rsidP="000E312C">
      <w:pPr>
        <w:pStyle w:val="BodyText"/>
        <w:ind w:left="23" w:right="18"/>
        <w:jc w:val="both"/>
      </w:pPr>
      <w:r>
        <w:t>Legume proteins are increasingly recognized as sustainable alternatives to animal proteins because of their high nutritional value and low environmental footprint. However, compact globular structures, strong intermolecular interactions, and limited digestibility often restrict functionality and the release of beneficial compounds. Enzymatic hydrolysis with plant-derived proteases offers a green and efficient route to overcome these limitations and create ingredients of enhanced biological value, such as peptides with improved techno-functional and physiological benefits. In this study the impact of papain, bromelain, and ficin was evaluated, applied both individually and in combined systems, for hydrolyzing proteins from pea, chickpea, and lentil. Protein isolates were prepared as 2.5% (w/v) slurries and treated under</w:t>
      </w:r>
      <w:r>
        <w:rPr>
          <w:spacing w:val="-11"/>
        </w:rPr>
        <w:t xml:space="preserve"> </w:t>
      </w:r>
      <w:r>
        <w:t>optimized</w:t>
      </w:r>
      <w:r>
        <w:rPr>
          <w:spacing w:val="-11"/>
        </w:rPr>
        <w:t xml:space="preserve"> </w:t>
      </w:r>
      <w:r>
        <w:t>pH</w:t>
      </w:r>
      <w:r>
        <w:rPr>
          <w:spacing w:val="-8"/>
        </w:rPr>
        <w:t xml:space="preserve"> </w:t>
      </w:r>
      <w:r>
        <w:t>and</w:t>
      </w:r>
      <w:r>
        <w:rPr>
          <w:spacing w:val="-8"/>
        </w:rPr>
        <w:t xml:space="preserve"> </w:t>
      </w:r>
      <w:r>
        <w:t>temperature</w:t>
      </w:r>
      <w:r>
        <w:rPr>
          <w:spacing w:val="-8"/>
        </w:rPr>
        <w:t xml:space="preserve"> </w:t>
      </w:r>
      <w:r>
        <w:t>conditions</w:t>
      </w:r>
      <w:r>
        <w:rPr>
          <w:spacing w:val="-8"/>
        </w:rPr>
        <w:t xml:space="preserve"> </w:t>
      </w:r>
      <w:r>
        <w:t>for</w:t>
      </w:r>
      <w:r>
        <w:rPr>
          <w:spacing w:val="-8"/>
        </w:rPr>
        <w:t xml:space="preserve"> </w:t>
      </w:r>
      <w:r>
        <w:t>1–3</w:t>
      </w:r>
      <w:r>
        <w:rPr>
          <w:spacing w:val="-8"/>
        </w:rPr>
        <w:t xml:space="preserve"> </w:t>
      </w:r>
      <w:r>
        <w:t>h</w:t>
      </w:r>
      <w:r>
        <w:rPr>
          <w:spacing w:val="-8"/>
        </w:rPr>
        <w:t xml:space="preserve"> </w:t>
      </w:r>
      <w:r>
        <w:t>using</w:t>
      </w:r>
      <w:r>
        <w:rPr>
          <w:spacing w:val="-8"/>
        </w:rPr>
        <w:t xml:space="preserve"> </w:t>
      </w:r>
      <w:r>
        <w:t>simultaneous</w:t>
      </w:r>
      <w:r>
        <w:rPr>
          <w:spacing w:val="-8"/>
        </w:rPr>
        <w:t xml:space="preserve"> </w:t>
      </w:r>
      <w:r>
        <w:t>multi-enzyme</w:t>
      </w:r>
      <w:r>
        <w:rPr>
          <w:spacing w:val="-8"/>
        </w:rPr>
        <w:t xml:space="preserve"> </w:t>
      </w:r>
      <w:r>
        <w:t>or sequential hydrolysis strategies. Hydrolysates were heat-inactivated, freeze-dried, and characterized for degree of hydrolysis, water-soluble protein, antioxidant capacity, total polyphenols, total flavonoids, peptide generation, and structural protein changes by 1D SDS-PAGE.</w:t>
      </w:r>
      <w:r>
        <w:rPr>
          <w:spacing w:val="-15"/>
        </w:rPr>
        <w:t xml:space="preserve"> </w:t>
      </w:r>
      <w:r>
        <w:t>Plant-based</w:t>
      </w:r>
      <w:r>
        <w:rPr>
          <w:spacing w:val="-15"/>
        </w:rPr>
        <w:t xml:space="preserve"> </w:t>
      </w:r>
      <w:r>
        <w:t>proteases</w:t>
      </w:r>
      <w:r>
        <w:rPr>
          <w:spacing w:val="-15"/>
        </w:rPr>
        <w:t xml:space="preserve"> </w:t>
      </w:r>
      <w:r>
        <w:t>markedly</w:t>
      </w:r>
      <w:r>
        <w:rPr>
          <w:spacing w:val="-15"/>
        </w:rPr>
        <w:t xml:space="preserve"> </w:t>
      </w:r>
      <w:r>
        <w:t>improved</w:t>
      </w:r>
      <w:r>
        <w:rPr>
          <w:spacing w:val="-15"/>
        </w:rPr>
        <w:t xml:space="preserve"> </w:t>
      </w:r>
      <w:r>
        <w:t>all</w:t>
      </w:r>
      <w:r>
        <w:rPr>
          <w:spacing w:val="-15"/>
        </w:rPr>
        <w:t xml:space="preserve"> </w:t>
      </w:r>
      <w:r>
        <w:t>measured</w:t>
      </w:r>
      <w:r>
        <w:rPr>
          <w:spacing w:val="-15"/>
        </w:rPr>
        <w:t xml:space="preserve"> </w:t>
      </w:r>
      <w:r>
        <w:t>properties</w:t>
      </w:r>
      <w:r>
        <w:rPr>
          <w:spacing w:val="-15"/>
        </w:rPr>
        <w:t xml:space="preserve"> </w:t>
      </w:r>
      <w:r>
        <w:t>compared</w:t>
      </w:r>
      <w:r>
        <w:rPr>
          <w:spacing w:val="-15"/>
        </w:rPr>
        <w:t xml:space="preserve"> </w:t>
      </w:r>
      <w:r>
        <w:t>to</w:t>
      </w:r>
      <w:r>
        <w:rPr>
          <w:spacing w:val="-15"/>
        </w:rPr>
        <w:t xml:space="preserve"> </w:t>
      </w:r>
      <w:r>
        <w:t>the</w:t>
      </w:r>
      <w:r>
        <w:rPr>
          <w:spacing w:val="-15"/>
        </w:rPr>
        <w:t xml:space="preserve"> </w:t>
      </w:r>
      <w:r>
        <w:t xml:space="preserve">non-hydrolyzed controls. The simultaneous </w:t>
      </w:r>
      <w:proofErr w:type="spellStart"/>
      <w:proofErr w:type="gramStart"/>
      <w:r>
        <w:t>papain:bromelain</w:t>
      </w:r>
      <w:proofErr w:type="gramEnd"/>
      <w:r>
        <w:t>:ficin</w:t>
      </w:r>
      <w:proofErr w:type="spellEnd"/>
      <w:r>
        <w:t xml:space="preserve"> system generated the highest degree of hydrolysis, reaching 36.5%</w:t>
      </w:r>
      <w:r>
        <w:rPr>
          <w:spacing w:val="-2"/>
        </w:rPr>
        <w:t xml:space="preserve"> </w:t>
      </w:r>
      <w:r>
        <w:t>in pea, 33.6% in chickpea, and 34.4%</w:t>
      </w:r>
      <w:r>
        <w:rPr>
          <w:spacing w:val="-2"/>
        </w:rPr>
        <w:t xml:space="preserve"> </w:t>
      </w:r>
      <w:r>
        <w:t>in lentil after 3 h. Sequential hydrolysis maximized soluble protein, achieving 292, 291, and 283 mg/g in pea, chickpea, and lentil, respectively. Antioxidant capacity increased strongly, reaching 353 mg Trolox equivalents/g in pea, 334 mg/g in chickpea, and 323 mg/g in lentil, almost double the best conventional control treatment. Total</w:t>
      </w:r>
      <w:r>
        <w:rPr>
          <w:spacing w:val="-2"/>
        </w:rPr>
        <w:t xml:space="preserve"> </w:t>
      </w:r>
      <w:r>
        <w:t xml:space="preserve">polyphenol content rose to approximately 50 mg/g, while total flavonoid content reached 27.82 mg/g in </w:t>
      </w:r>
      <w:proofErr w:type="gramStart"/>
      <w:r>
        <w:t>pea</w:t>
      </w:r>
      <w:proofErr w:type="gramEnd"/>
      <w:r>
        <w:t xml:space="preserve">. SDS-PAGE profiles confirmed the occurrence of extensive degradation of the major storage proteins, disappearance of high-molecular-weight bands, and accumulation of low-molecular-weight peptide fractions, demonstrating efficient oligopeptide release. Overall, pea proteins showed the greatest susceptibility to enzymatic modification, followed by chickpea and </w:t>
      </w:r>
      <w:proofErr w:type="gramStart"/>
      <w:r>
        <w:t>lentil</w:t>
      </w:r>
      <w:proofErr w:type="gramEnd"/>
      <w:r>
        <w:t>. These findings demonstrate</w:t>
      </w:r>
      <w:r>
        <w:rPr>
          <w:spacing w:val="-3"/>
        </w:rPr>
        <w:t xml:space="preserve"> </w:t>
      </w:r>
      <w:r>
        <w:t>that</w:t>
      </w:r>
      <w:r>
        <w:rPr>
          <w:spacing w:val="-3"/>
        </w:rPr>
        <w:t xml:space="preserve"> </w:t>
      </w:r>
      <w:r>
        <w:t>combining</w:t>
      </w:r>
      <w:r>
        <w:rPr>
          <w:spacing w:val="-3"/>
        </w:rPr>
        <w:t xml:space="preserve"> </w:t>
      </w:r>
      <w:r>
        <w:t>papain,</w:t>
      </w:r>
      <w:r>
        <w:rPr>
          <w:spacing w:val="-3"/>
        </w:rPr>
        <w:t xml:space="preserve"> </w:t>
      </w:r>
      <w:r>
        <w:t>bromelain,</w:t>
      </w:r>
      <w:r>
        <w:rPr>
          <w:spacing w:val="-1"/>
        </w:rPr>
        <w:t xml:space="preserve"> </w:t>
      </w:r>
      <w:r>
        <w:t>and</w:t>
      </w:r>
      <w:r>
        <w:rPr>
          <w:spacing w:val="-3"/>
        </w:rPr>
        <w:t xml:space="preserve"> </w:t>
      </w:r>
      <w:r>
        <w:t>ficin</w:t>
      </w:r>
      <w:r>
        <w:rPr>
          <w:spacing w:val="-3"/>
        </w:rPr>
        <w:t xml:space="preserve"> </w:t>
      </w:r>
      <w:r>
        <w:t>is</w:t>
      </w:r>
      <w:r>
        <w:rPr>
          <w:spacing w:val="-3"/>
        </w:rPr>
        <w:t xml:space="preserve"> </w:t>
      </w:r>
      <w:r>
        <w:t>a</w:t>
      </w:r>
      <w:r>
        <w:rPr>
          <w:spacing w:val="-3"/>
        </w:rPr>
        <w:t xml:space="preserve"> </w:t>
      </w:r>
      <w:r>
        <w:t>powerful</w:t>
      </w:r>
      <w:r>
        <w:rPr>
          <w:spacing w:val="-3"/>
        </w:rPr>
        <w:t xml:space="preserve"> </w:t>
      </w:r>
      <w:r>
        <w:t>clean-label</w:t>
      </w:r>
      <w:r>
        <w:rPr>
          <w:spacing w:val="-5"/>
        </w:rPr>
        <w:t xml:space="preserve"> </w:t>
      </w:r>
      <w:r>
        <w:t>strategy</w:t>
      </w:r>
      <w:r>
        <w:rPr>
          <w:spacing w:val="-1"/>
        </w:rPr>
        <w:t xml:space="preserve"> </w:t>
      </w:r>
      <w:r>
        <w:t>for producing next-generation functional food and nutraceutical ingredients from legumes sustainably worldwide.</w:t>
      </w:r>
    </w:p>
    <w:p w14:paraId="1A36C907" w14:textId="77777777" w:rsidR="004766E5" w:rsidRDefault="00000000" w:rsidP="000E312C">
      <w:pPr>
        <w:pStyle w:val="BodyText"/>
        <w:spacing w:before="274"/>
        <w:ind w:left="23" w:right="16"/>
        <w:jc w:val="both"/>
      </w:pPr>
      <w:r>
        <w:rPr>
          <w:b/>
        </w:rPr>
        <w:t>Keywords</w:t>
      </w:r>
      <w:r>
        <w:t xml:space="preserve">: Legume proteins; enzymatic hydrolysis; papain; bromelain; ficin; bioactive </w:t>
      </w:r>
      <w:r>
        <w:rPr>
          <w:spacing w:val="-2"/>
        </w:rPr>
        <w:t>peptides</w:t>
      </w:r>
    </w:p>
    <w:p w14:paraId="79B2AE71" w14:textId="77777777" w:rsidR="004766E5" w:rsidRDefault="004766E5" w:rsidP="000E312C">
      <w:pPr>
        <w:pStyle w:val="BodyText"/>
        <w:jc w:val="both"/>
      </w:pPr>
    </w:p>
    <w:p w14:paraId="56DB0BDA" w14:textId="77777777" w:rsidR="004766E5" w:rsidRDefault="00000000" w:rsidP="000E312C">
      <w:pPr>
        <w:pStyle w:val="Heading2"/>
        <w:jc w:val="both"/>
      </w:pPr>
      <w:r>
        <w:rPr>
          <w:spacing w:val="-2"/>
        </w:rPr>
        <w:t>BIOGRAPHY:</w:t>
      </w:r>
    </w:p>
    <w:p w14:paraId="2C628C21" w14:textId="77777777" w:rsidR="004766E5" w:rsidRDefault="004766E5" w:rsidP="000E312C">
      <w:pPr>
        <w:pStyle w:val="BodyText"/>
        <w:jc w:val="both"/>
        <w:rPr>
          <w:b/>
        </w:rPr>
      </w:pPr>
    </w:p>
    <w:p w14:paraId="5BA690F9" w14:textId="77777777" w:rsidR="004766E5" w:rsidRDefault="00000000" w:rsidP="000E312C">
      <w:pPr>
        <w:pStyle w:val="BodyText"/>
        <w:spacing w:before="1"/>
        <w:ind w:left="23"/>
        <w:jc w:val="both"/>
      </w:pPr>
      <w:r>
        <w:t>Dr.</w:t>
      </w:r>
      <w:r>
        <w:rPr>
          <w:spacing w:val="-15"/>
        </w:rPr>
        <w:t xml:space="preserve"> </w:t>
      </w:r>
      <w:r>
        <w:t>Tarek</w:t>
      </w:r>
      <w:r>
        <w:rPr>
          <w:spacing w:val="-15"/>
        </w:rPr>
        <w:t xml:space="preserve"> </w:t>
      </w:r>
      <w:r>
        <w:t>Alshaal</w:t>
      </w:r>
      <w:r>
        <w:rPr>
          <w:spacing w:val="-13"/>
        </w:rPr>
        <w:t xml:space="preserve"> </w:t>
      </w:r>
      <w:r>
        <w:t>is</w:t>
      </w:r>
      <w:r>
        <w:rPr>
          <w:spacing w:val="-11"/>
        </w:rPr>
        <w:t xml:space="preserve"> </w:t>
      </w:r>
      <w:r>
        <w:t>an</w:t>
      </w:r>
      <w:r>
        <w:rPr>
          <w:spacing w:val="-15"/>
        </w:rPr>
        <w:t xml:space="preserve"> </w:t>
      </w:r>
      <w:r>
        <w:t>Associate</w:t>
      </w:r>
      <w:r>
        <w:rPr>
          <w:spacing w:val="-15"/>
        </w:rPr>
        <w:t xml:space="preserve"> </w:t>
      </w:r>
      <w:r>
        <w:t>Professor</w:t>
      </w:r>
      <w:r>
        <w:rPr>
          <w:spacing w:val="-15"/>
        </w:rPr>
        <w:t xml:space="preserve"> </w:t>
      </w:r>
      <w:r>
        <w:t>specializing</w:t>
      </w:r>
      <w:r>
        <w:rPr>
          <w:spacing w:val="-12"/>
        </w:rPr>
        <w:t xml:space="preserve"> </w:t>
      </w:r>
      <w:r>
        <w:t>in</w:t>
      </w:r>
      <w:r>
        <w:rPr>
          <w:spacing w:val="-12"/>
        </w:rPr>
        <w:t xml:space="preserve"> </w:t>
      </w:r>
      <w:r>
        <w:t>Food</w:t>
      </w:r>
      <w:r>
        <w:rPr>
          <w:spacing w:val="-12"/>
        </w:rPr>
        <w:t xml:space="preserve"> </w:t>
      </w:r>
      <w:r>
        <w:t>biotechnology,</w:t>
      </w:r>
      <w:r>
        <w:rPr>
          <w:spacing w:val="-12"/>
        </w:rPr>
        <w:t xml:space="preserve"> </w:t>
      </w:r>
      <w:r>
        <w:t>plant</w:t>
      </w:r>
      <w:r>
        <w:rPr>
          <w:spacing w:val="-12"/>
        </w:rPr>
        <w:t xml:space="preserve"> </w:t>
      </w:r>
      <w:r>
        <w:rPr>
          <w:spacing w:val="-2"/>
        </w:rPr>
        <w:t>nutrition,</w:t>
      </w:r>
    </w:p>
    <w:p w14:paraId="4EDDADAD" w14:textId="77777777" w:rsidR="004766E5" w:rsidRDefault="00000000" w:rsidP="000E312C">
      <w:pPr>
        <w:pStyle w:val="BodyText"/>
        <w:spacing w:before="60"/>
        <w:ind w:left="23" w:right="20"/>
        <w:jc w:val="both"/>
      </w:pPr>
      <w:r>
        <w:t>and</w:t>
      </w:r>
      <w:r>
        <w:rPr>
          <w:spacing w:val="-15"/>
        </w:rPr>
        <w:t xml:space="preserve"> </w:t>
      </w:r>
      <w:r>
        <w:t>sustainable</w:t>
      </w:r>
      <w:r>
        <w:rPr>
          <w:spacing w:val="-15"/>
        </w:rPr>
        <w:t xml:space="preserve"> </w:t>
      </w:r>
      <w:r>
        <w:t>biomass</w:t>
      </w:r>
      <w:r>
        <w:rPr>
          <w:spacing w:val="-14"/>
        </w:rPr>
        <w:t xml:space="preserve"> </w:t>
      </w:r>
      <w:r>
        <w:t>valorization.</w:t>
      </w:r>
      <w:r>
        <w:rPr>
          <w:spacing w:val="-15"/>
        </w:rPr>
        <w:t xml:space="preserve"> </w:t>
      </w:r>
      <w:r>
        <w:t>His</w:t>
      </w:r>
      <w:r>
        <w:rPr>
          <w:spacing w:val="-15"/>
        </w:rPr>
        <w:t xml:space="preserve"> </w:t>
      </w:r>
      <w:r>
        <w:t>research</w:t>
      </w:r>
      <w:r>
        <w:rPr>
          <w:spacing w:val="-14"/>
        </w:rPr>
        <w:t xml:space="preserve"> </w:t>
      </w:r>
      <w:r>
        <w:t>integrates</w:t>
      </w:r>
      <w:r>
        <w:rPr>
          <w:spacing w:val="-14"/>
        </w:rPr>
        <w:t xml:space="preserve"> </w:t>
      </w:r>
      <w:r>
        <w:t>agriculture</w:t>
      </w:r>
      <w:r>
        <w:rPr>
          <w:spacing w:val="-15"/>
        </w:rPr>
        <w:t xml:space="preserve"> </w:t>
      </w:r>
      <w:r>
        <w:t>and</w:t>
      </w:r>
      <w:r>
        <w:rPr>
          <w:spacing w:val="-15"/>
        </w:rPr>
        <w:t xml:space="preserve"> </w:t>
      </w:r>
      <w:r>
        <w:t>food</w:t>
      </w:r>
      <w:r>
        <w:rPr>
          <w:spacing w:val="-15"/>
        </w:rPr>
        <w:t xml:space="preserve"> </w:t>
      </w:r>
      <w:r>
        <w:t>science,</w:t>
      </w:r>
      <w:r>
        <w:rPr>
          <w:spacing w:val="-14"/>
        </w:rPr>
        <w:t xml:space="preserve"> </w:t>
      </w:r>
      <w:r>
        <w:t>with particular focus on plant proteins, enzymatic hydrolysis, green extraction technologies, and bioactive compound production from biomass resources. He has extensive experience in sustainable protein systems, green leaf protein production, and circular bioeconomy approaches. Dr. Alshaal has published widely in international journals and collaborates on multidisciplinary</w:t>
      </w:r>
      <w:r>
        <w:rPr>
          <w:spacing w:val="-11"/>
        </w:rPr>
        <w:t xml:space="preserve"> </w:t>
      </w:r>
      <w:r>
        <w:t>projects</w:t>
      </w:r>
      <w:r>
        <w:rPr>
          <w:spacing w:val="-11"/>
        </w:rPr>
        <w:t xml:space="preserve"> </w:t>
      </w:r>
      <w:r>
        <w:t>addressing</w:t>
      </w:r>
      <w:r>
        <w:rPr>
          <w:spacing w:val="-8"/>
        </w:rPr>
        <w:t xml:space="preserve"> </w:t>
      </w:r>
      <w:r>
        <w:t>food</w:t>
      </w:r>
      <w:r>
        <w:rPr>
          <w:spacing w:val="-11"/>
        </w:rPr>
        <w:t xml:space="preserve"> </w:t>
      </w:r>
      <w:r>
        <w:t>innovation,</w:t>
      </w:r>
      <w:r>
        <w:rPr>
          <w:spacing w:val="-11"/>
        </w:rPr>
        <w:t xml:space="preserve"> </w:t>
      </w:r>
      <w:r>
        <w:t>environmental</w:t>
      </w:r>
      <w:r>
        <w:rPr>
          <w:spacing w:val="-13"/>
        </w:rPr>
        <w:t xml:space="preserve"> </w:t>
      </w:r>
      <w:r>
        <w:t>sustainability,</w:t>
      </w:r>
      <w:r>
        <w:rPr>
          <w:spacing w:val="-11"/>
        </w:rPr>
        <w:t xml:space="preserve"> </w:t>
      </w:r>
      <w:r>
        <w:t>and</w:t>
      </w:r>
      <w:r>
        <w:rPr>
          <w:spacing w:val="-11"/>
        </w:rPr>
        <w:t xml:space="preserve"> </w:t>
      </w:r>
      <w:r>
        <w:t>future nutrition. His current work focuses on transforming plant biomass into high-value functional ingredients for food and industrial applications.</w:t>
      </w:r>
    </w:p>
    <w:sectPr w:rsidR="004766E5">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66E5"/>
    <w:rsid w:val="000E312C"/>
    <w:rsid w:val="004766E5"/>
    <w:rsid w:val="00A80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BCD8"/>
  <w15:docId w15:val="{A39A4DD0-A43E-4DF8-A3EE-76F9968B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72" w:right="271"/>
      <w:jc w:val="center"/>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Abstract-Tarek-revA.</dc:title>
  <cp:lastModifiedBy>Gary Edmund</cp:lastModifiedBy>
  <cp:revision>2</cp:revision>
  <dcterms:created xsi:type="dcterms:W3CDTF">2026-05-16T07:02:00Z</dcterms:created>
  <dcterms:modified xsi:type="dcterms:W3CDTF">2026-05-22T10:04:00Z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LastSaved">
    <vt:filetime>2026-05-16T00:00:00Z</vt:filetime>
  </property>
  <property fmtid="{D5CDD505-2E9C-101B-9397-08002B2CF9AE}" pid="5" name="Producer">
    <vt:lpwstr>Microsoft: Print To PDF</vt:lpwstr>
  </property>
</Properties>
</file>