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w:t>The Advanced Practice Nurse (APN) in an APN-led clinic for complex chronically</w:t>
      </w:r>
      <w:r>
        <w:rPr>
          <w:spacing w:val="-4"/>
        </w:rPr>
        <w:t> </w:t>
      </w:r>
      <w:r>
        <w:rPr/>
        <w:t>ill</w:t>
      </w:r>
      <w:r>
        <w:rPr>
          <w:spacing w:val="-4"/>
        </w:rPr>
        <w:t> </w:t>
      </w:r>
      <w:r>
        <w:rPr/>
        <w:t>young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middle-aged</w:t>
      </w:r>
      <w:r>
        <w:rPr>
          <w:spacing w:val="-6"/>
        </w:rPr>
        <w:t> </w:t>
      </w:r>
      <w:r>
        <w:rPr/>
        <w:t>adults: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evidence-based</w:t>
      </w:r>
      <w:r>
        <w:rPr>
          <w:spacing w:val="-8"/>
        </w:rPr>
        <w:t> </w:t>
      </w:r>
      <w:r>
        <w:rPr/>
        <w:t>role</w:t>
      </w:r>
      <w:r>
        <w:rPr>
          <w:spacing w:val="-4"/>
        </w:rPr>
        <w:t> </w:t>
      </w:r>
      <w:r>
        <w:rPr/>
        <w:t>concept.</w:t>
      </w:r>
    </w:p>
    <w:p>
      <w:pPr>
        <w:pStyle w:val="BodyText"/>
        <w:spacing w:before="267"/>
        <w:ind w:left="0"/>
        <w:jc w:val="left"/>
        <w:rPr>
          <w:b/>
          <w:sz w:val="28"/>
        </w:rPr>
      </w:pPr>
    </w:p>
    <w:p>
      <w:pPr>
        <w:spacing w:before="0"/>
        <w:ind w:left="141" w:right="0" w:firstLine="0"/>
        <w:jc w:val="left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Bales,</w:t>
      </w:r>
      <w:r>
        <w:rPr>
          <w:b/>
          <w:bCs/>
          <w:spacing w:val="-11"/>
          <w:sz w:val="22"/>
          <w:szCs w:val="22"/>
          <w:u w:val="single"/>
        </w:rPr>
        <w:t> </w:t>
      </w:r>
      <w:r>
        <w:rPr>
          <w:b/>
          <w:bCs/>
          <w:sz w:val="22"/>
          <w:szCs w:val="22"/>
          <w:u w:val="single"/>
        </w:rPr>
        <w:t>G.</w:t>
      </w:r>
      <w:r>
        <w:rPr>
          <w:sz w:val="22"/>
          <w:szCs w:val="22"/>
          <w:vertAlign w:val="superscript"/>
        </w:rPr>
        <w:t>1,2</w:t>
      </w:r>
      <w:r>
        <w:rPr>
          <w:sz w:val="22"/>
          <w:szCs w:val="22"/>
          <w:vertAlign w:val="superscript"/>
          <w:rtl/>
        </w:rPr>
        <w:t>٭</w:t>
      </w:r>
      <w:r>
        <w:rPr>
          <w:sz w:val="22"/>
          <w:szCs w:val="22"/>
          <w:vertAlign w:val="baseline"/>
        </w:rPr>
        <w:t>,</w:t>
      </w:r>
      <w:r>
        <w:rPr>
          <w:spacing w:val="-9"/>
          <w:sz w:val="22"/>
          <w:szCs w:val="22"/>
          <w:vertAlign w:val="baseline"/>
        </w:rPr>
        <w:t> </w:t>
      </w:r>
      <w:r>
        <w:rPr>
          <w:i/>
          <w:iCs/>
          <w:sz w:val="22"/>
          <w:szCs w:val="22"/>
          <w:vertAlign w:val="baseline"/>
        </w:rPr>
        <w:t>Mayer,</w:t>
      </w:r>
      <w:r>
        <w:rPr>
          <w:i/>
          <w:iCs/>
          <w:spacing w:val="-9"/>
          <w:sz w:val="22"/>
          <w:szCs w:val="22"/>
          <w:vertAlign w:val="baseline"/>
        </w:rPr>
        <w:t> </w:t>
      </w:r>
      <w:r>
        <w:rPr>
          <w:i/>
          <w:iCs/>
          <w:spacing w:val="-5"/>
          <w:sz w:val="22"/>
          <w:szCs w:val="22"/>
          <w:vertAlign w:val="baseline"/>
        </w:rPr>
        <w:t>H.</w:t>
      </w:r>
      <w:r>
        <w:rPr>
          <w:i/>
          <w:iCs/>
          <w:spacing w:val="-5"/>
          <w:sz w:val="22"/>
          <w:szCs w:val="22"/>
          <w:vertAlign w:val="superscript"/>
        </w:rPr>
        <w:t>3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180" w:after="0"/>
        <w:ind w:left="272" w:right="0" w:hanging="131"/>
        <w:jc w:val="left"/>
        <w:rPr>
          <w:sz w:val="18"/>
        </w:rPr>
      </w:pPr>
      <w:r>
        <w:rPr>
          <w:sz w:val="18"/>
        </w:rPr>
        <w:t>University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Vienna,</w:t>
      </w:r>
      <w:r>
        <w:rPr>
          <w:spacing w:val="-3"/>
          <w:sz w:val="18"/>
        </w:rPr>
        <w:t> </w:t>
      </w:r>
      <w:r>
        <w:rPr>
          <w:sz w:val="18"/>
        </w:rPr>
        <w:t>Department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Nursing</w:t>
      </w:r>
      <w:r>
        <w:rPr>
          <w:spacing w:val="-1"/>
          <w:sz w:val="18"/>
        </w:rPr>
        <w:t> </w:t>
      </w:r>
      <w:r>
        <w:rPr>
          <w:sz w:val="18"/>
        </w:rPr>
        <w:t>Science,</w:t>
      </w:r>
      <w:r>
        <w:rPr>
          <w:spacing w:val="-3"/>
          <w:sz w:val="18"/>
        </w:rPr>
        <w:t> </w:t>
      </w:r>
      <w:r>
        <w:rPr>
          <w:sz w:val="18"/>
        </w:rPr>
        <w:t>Vienna,</w:t>
      </w:r>
      <w:r>
        <w:rPr>
          <w:spacing w:val="-2"/>
          <w:sz w:val="18"/>
        </w:rPr>
        <w:t> Austria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160" w:after="0"/>
        <w:ind w:left="272" w:right="0" w:hanging="131"/>
        <w:jc w:val="left"/>
        <w:rPr>
          <w:sz w:val="18"/>
        </w:rPr>
      </w:pPr>
      <w:r>
        <w:rPr>
          <w:sz w:val="18"/>
        </w:rPr>
        <w:t>University</w:t>
      </w:r>
      <w:r>
        <w:rPr>
          <w:spacing w:val="-5"/>
          <w:sz w:val="18"/>
        </w:rPr>
        <w:t> </w:t>
      </w:r>
      <w:r>
        <w:rPr>
          <w:sz w:val="18"/>
        </w:rPr>
        <w:t>Department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Geriatric</w:t>
      </w:r>
      <w:r>
        <w:rPr>
          <w:spacing w:val="-3"/>
          <w:sz w:val="18"/>
        </w:rPr>
        <w:t> </w:t>
      </w:r>
      <w:r>
        <w:rPr>
          <w:sz w:val="18"/>
        </w:rPr>
        <w:t>Medicine</w:t>
      </w:r>
      <w:r>
        <w:rPr>
          <w:spacing w:val="-6"/>
          <w:sz w:val="18"/>
        </w:rPr>
        <w:t> </w:t>
      </w:r>
      <w:r>
        <w:rPr>
          <w:sz w:val="18"/>
        </w:rPr>
        <w:t>FELIX</w:t>
      </w:r>
      <w:r>
        <w:rPr>
          <w:spacing w:val="-5"/>
          <w:sz w:val="18"/>
        </w:rPr>
        <w:t> </w:t>
      </w:r>
      <w:r>
        <w:rPr>
          <w:sz w:val="18"/>
        </w:rPr>
        <w:t>PLATTER,</w:t>
      </w:r>
      <w:r>
        <w:rPr>
          <w:spacing w:val="-4"/>
          <w:sz w:val="18"/>
        </w:rPr>
        <w:t> </w:t>
      </w:r>
      <w:r>
        <w:rPr>
          <w:sz w:val="18"/>
        </w:rPr>
        <w:t>Basel,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Switzerland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162" w:after="0"/>
        <w:ind w:left="141" w:right="226" w:firstLine="0"/>
        <w:jc w:val="left"/>
        <w:rPr>
          <w:sz w:val="18"/>
        </w:rPr>
      </w:pPr>
      <w:r>
        <w:rPr>
          <w:sz w:val="18"/>
        </w:rPr>
        <w:t>Karl</w:t>
      </w:r>
      <w:r>
        <w:rPr>
          <w:spacing w:val="-4"/>
          <w:sz w:val="18"/>
        </w:rPr>
        <w:t> </w:t>
      </w:r>
      <w:r>
        <w:rPr>
          <w:sz w:val="18"/>
        </w:rPr>
        <w:t>Landsteiner</w:t>
      </w:r>
      <w:r>
        <w:rPr>
          <w:spacing w:val="-2"/>
          <w:sz w:val="18"/>
        </w:rPr>
        <w:t> </w:t>
      </w:r>
      <w:r>
        <w:rPr>
          <w:sz w:val="18"/>
        </w:rPr>
        <w:t>University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Health</w:t>
      </w:r>
      <w:r>
        <w:rPr>
          <w:spacing w:val="-5"/>
          <w:sz w:val="18"/>
        </w:rPr>
        <w:t> </w:t>
      </w:r>
      <w:r>
        <w:rPr>
          <w:sz w:val="18"/>
        </w:rPr>
        <w:t>Sciences,</w:t>
      </w:r>
      <w:r>
        <w:rPr>
          <w:spacing w:val="-4"/>
          <w:sz w:val="18"/>
        </w:rPr>
        <w:t> </w:t>
      </w:r>
      <w:r>
        <w:rPr>
          <w:sz w:val="18"/>
        </w:rPr>
        <w:t>Department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General</w:t>
      </w:r>
      <w:r>
        <w:rPr>
          <w:spacing w:val="-4"/>
          <w:sz w:val="18"/>
        </w:rPr>
        <w:t> </w:t>
      </w:r>
      <w:r>
        <w:rPr>
          <w:sz w:val="18"/>
        </w:rPr>
        <w:t>Health</w:t>
      </w:r>
      <w:r>
        <w:rPr>
          <w:spacing w:val="-3"/>
          <w:sz w:val="18"/>
        </w:rPr>
        <w:t> </w:t>
      </w:r>
      <w:r>
        <w:rPr>
          <w:sz w:val="18"/>
        </w:rPr>
        <w:t>Studies,</w:t>
      </w:r>
      <w:r>
        <w:rPr>
          <w:spacing w:val="-4"/>
          <w:sz w:val="18"/>
        </w:rPr>
        <w:t> </w:t>
      </w:r>
      <w:r>
        <w:rPr>
          <w:sz w:val="18"/>
        </w:rPr>
        <w:t>Division</w:t>
      </w:r>
      <w:r>
        <w:rPr>
          <w:spacing w:val="-5"/>
          <w:sz w:val="18"/>
        </w:rPr>
        <w:t> </w:t>
      </w:r>
      <w:r>
        <w:rPr>
          <w:sz w:val="18"/>
        </w:rPr>
        <w:t>Nursing</w:t>
      </w:r>
      <w:r>
        <w:rPr>
          <w:spacing w:val="-2"/>
          <w:sz w:val="18"/>
        </w:rPr>
        <w:t> </w:t>
      </w:r>
      <w:r>
        <w:rPr>
          <w:sz w:val="18"/>
        </w:rPr>
        <w:t>Science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focus on Person Centred Care Research, Krems, Austria</w:t>
      </w: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spacing w:before="208"/>
        <w:ind w:left="0"/>
        <w:jc w:val="left"/>
        <w:rPr>
          <w:sz w:val="18"/>
        </w:rPr>
      </w:pPr>
    </w:p>
    <w:p>
      <w:pPr>
        <w:pStyle w:val="BodyText"/>
        <w:spacing w:line="360" w:lineRule="auto"/>
        <w:ind w:right="136"/>
      </w:pPr>
      <w:r>
        <w:rPr>
          <w:b/>
        </w:rPr>
        <w:t>Background and Objectives: </w:t>
      </w:r>
      <w:r>
        <w:rPr/>
        <w:t>The rising prevalence of multimorbid and complex chronically ill young and middle-aged adults poses significant challenges for patients, healthcare professionals, and the Swiss healthcare system. This highlights the need for</w:t>
      </w:r>
      <w:r>
        <w:rPr>
          <w:spacing w:val="-2"/>
        </w:rPr>
        <w:t> </w:t>
      </w:r>
      <w:r>
        <w:rPr/>
        <w:t>innovative</w:t>
      </w:r>
      <w:r>
        <w:rPr>
          <w:spacing w:val="-2"/>
        </w:rPr>
        <w:t> </w:t>
      </w:r>
      <w:r>
        <w:rPr/>
        <w:t>care models and roles to address the complex</w:t>
      </w:r>
      <w:r>
        <w:rPr>
          <w:spacing w:val="-6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demands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6"/>
        </w:rPr>
        <w:t> </w:t>
      </w:r>
      <w:r>
        <w:rPr/>
        <w:t>population.</w:t>
      </w:r>
      <w:r>
        <w:rPr>
          <w:spacing w:val="-6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Practice</w:t>
      </w:r>
      <w:r>
        <w:rPr>
          <w:spacing w:val="-8"/>
        </w:rPr>
        <w:t> </w:t>
      </w:r>
      <w:r>
        <w:rPr/>
        <w:t>Nurses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well-positioned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play a crucial role in this context. A clear description of the APN role tailored to these complex population needs is currently lacking. This study aims to develop an evidence-based model delineating the APN role within an APN-led clinic in a hospital setting.</w:t>
      </w:r>
    </w:p>
    <w:p>
      <w:pPr>
        <w:pStyle w:val="BodyText"/>
        <w:spacing w:line="360" w:lineRule="auto" w:before="161"/>
        <w:ind w:right="137"/>
      </w:pPr>
      <w:r>
        <w:rPr>
          <w:b/>
        </w:rPr>
        <w:t>Design and Methods: </w:t>
      </w:r>
      <w:r>
        <w:rPr/>
        <w:t>The study incorporated qualitative analyses from interviews with various stakeholders: patients (n=16), relatives (n=4), APNs from the USA/Canada (n=7), APNs in Switzerland (n=12), and leading physicians (n=6), and results of a literature review, while also considering contextual factors specific to Switzerland. Based on this evidence, the concept was developed under consideration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PEPPA-plus</w:t>
      </w:r>
      <w:r>
        <w:rPr>
          <w:spacing w:val="-6"/>
        </w:rPr>
        <w:t> </w:t>
      </w:r>
      <w:r>
        <w:rPr/>
        <w:t>framework,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PARISHS</w:t>
      </w:r>
      <w:r>
        <w:rPr>
          <w:spacing w:val="-8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Transitional</w:t>
      </w:r>
      <w:r>
        <w:rPr>
          <w:spacing w:val="-6"/>
        </w:rPr>
        <w:t> </w:t>
      </w:r>
      <w:r>
        <w:rPr/>
        <w:t>Care</w:t>
      </w:r>
      <w:r>
        <w:rPr>
          <w:spacing w:val="-8"/>
        </w:rPr>
        <w:t> </w:t>
      </w:r>
      <w:r>
        <w:rPr/>
        <w:t>Model.</w:t>
      </w:r>
    </w:p>
    <w:p>
      <w:pPr>
        <w:pStyle w:val="BodyText"/>
        <w:spacing w:line="360" w:lineRule="auto" w:before="160"/>
        <w:ind w:right="138"/>
      </w:pPr>
      <w:r>
        <w:rPr>
          <w:b/>
        </w:rPr>
        <w:t>Results: </w:t>
      </w:r>
      <w:r>
        <w:rPr/>
        <w:t>The model outlines the competencies and scope of practice of APNs, as well as the characteristics and care needs of the target population. It delineates key components of the APN-led model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highlights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APN</w:t>
      </w:r>
      <w:r>
        <w:rPr>
          <w:spacing w:val="-1"/>
        </w:rPr>
        <w:t> </w:t>
      </w:r>
      <w:r>
        <w:rPr/>
        <w:t>activities.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transitional</w:t>
      </w:r>
      <w:r>
        <w:rPr>
          <w:spacing w:val="-1"/>
        </w:rPr>
        <w:t> </w:t>
      </w:r>
      <w:r>
        <w:rPr/>
        <w:t>care,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1"/>
        </w:rPr>
        <w:t> </w:t>
      </w:r>
      <w:r>
        <w:rPr/>
        <w:t>emphasizes</w:t>
      </w:r>
      <w:r>
        <w:rPr>
          <w:spacing w:val="-2"/>
        </w:rPr>
        <w:t> </w:t>
      </w:r>
      <w:r>
        <w:rPr/>
        <w:t>a person-centred</w:t>
      </w:r>
      <w:r>
        <w:rPr>
          <w:spacing w:val="-6"/>
        </w:rPr>
        <w:t> </w:t>
      </w:r>
      <w:r>
        <w:rPr/>
        <w:t>approach,</w:t>
      </w:r>
      <w:r>
        <w:rPr>
          <w:spacing w:val="-6"/>
        </w:rPr>
        <w:t> </w:t>
      </w:r>
      <w:r>
        <w:rPr/>
        <w:t>focusing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psychosocial</w:t>
      </w:r>
      <w:r>
        <w:rPr>
          <w:spacing w:val="-8"/>
        </w:rPr>
        <w:t> </w:t>
      </w:r>
      <w:r>
        <w:rPr/>
        <w:t>needs.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prioritizing</w:t>
      </w:r>
      <w:r>
        <w:rPr>
          <w:spacing w:val="-6"/>
        </w:rPr>
        <w:t> </w:t>
      </w:r>
      <w:r>
        <w:rPr/>
        <w:t>stabilization</w:t>
      </w:r>
      <w:r>
        <w:rPr>
          <w:spacing w:val="-6"/>
        </w:rPr>
        <w:t> </w:t>
      </w:r>
      <w:r>
        <w:rPr/>
        <w:t>and integration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transitional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4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- participation,</w:t>
      </w:r>
      <w:r>
        <w:rPr>
          <w:spacing w:val="-10"/>
        </w:rPr>
        <w:t> </w:t>
      </w:r>
      <w:r>
        <w:rPr/>
        <w:t>regaining</w:t>
      </w:r>
      <w:r>
        <w:rPr>
          <w:spacing w:val="-10"/>
        </w:rPr>
        <w:t> </w:t>
      </w:r>
      <w:r>
        <w:rPr/>
        <w:t>autonomy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independence,</w:t>
      </w:r>
      <w:r>
        <w:rPr>
          <w:spacing w:val="-13"/>
        </w:rPr>
        <w:t> </w:t>
      </w:r>
      <w:r>
        <w:rPr/>
        <w:t>mastering</w:t>
      </w:r>
      <w:r>
        <w:rPr>
          <w:spacing w:val="-9"/>
        </w:rPr>
        <w:t> </w:t>
      </w:r>
      <w:r>
        <w:rPr/>
        <w:t>everyday</w:t>
      </w:r>
      <w:r>
        <w:rPr>
          <w:spacing w:val="-11"/>
        </w:rPr>
        <w:t> </w:t>
      </w:r>
      <w:r>
        <w:rPr/>
        <w:t>life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returning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normal </w:t>
      </w:r>
      <w:r>
        <w:rPr>
          <w:spacing w:val="-2"/>
        </w:rPr>
        <w:t>life.</w:t>
      </w:r>
    </w:p>
    <w:p>
      <w:pPr>
        <w:pStyle w:val="BodyText"/>
        <w:spacing w:line="360" w:lineRule="auto" w:before="159"/>
        <w:ind w:right="138"/>
      </w:pPr>
      <w:r>
        <w:rPr>
          <w:b/>
        </w:rPr>
        <w:t>Conclusions: </w:t>
      </w:r>
      <w:r>
        <w:rPr/>
        <w:t>This study presents an evidence-based model that clearly defines the APN role in addressing the complex needs of this population group. The model not only provides a deeper understanding of</w:t>
      </w:r>
      <w:r>
        <w:rPr>
          <w:spacing w:val="-1"/>
        </w:rPr>
        <w:t> </w:t>
      </w:r>
      <w:r>
        <w:rPr/>
        <w:t>the specific and essential components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role, but also a theoretically grounded basis that can guide both: implementation and evaluation.</w:t>
      </w:r>
    </w:p>
    <w:sectPr>
      <w:type w:val="continuous"/>
      <w:pgSz w:w="11910" w:h="1684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72" w:hanging="13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8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5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  <w:jc w:val="both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81" w:firstLine="568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272" w:hanging="13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Abstract Spain_2026_The Advanced Practice Nurse (APN) in an APN-led clinic for complex chronically ill young and middle-aged adults_Gabriele Bales.docx</dc:title>
  <dcterms:created xsi:type="dcterms:W3CDTF">2026-04-16T07:16:50Z</dcterms:created>
  <dcterms:modified xsi:type="dcterms:W3CDTF">2026-04-16T07:16:50Z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Microsoft: Print To PDF</vt:lpwstr>
  </property>
</Properties>
</file>