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Title:</w:t>
      </w:r>
    </w:p>
    <w:p>
      <w:pPr>
        <w:spacing w:line="290" w:lineRule="auto" w:before="22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Recurrent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ventricular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asystole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during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octreotide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infusion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patient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with </w:t>
      </w:r>
      <w:r>
        <w:rPr>
          <w:b/>
          <w:sz w:val="24"/>
        </w:rPr>
        <w:t>pancreatic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neuroendocrine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tumour: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report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8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Nicholaos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Mansolas</w:t>
      </w:r>
    </w:p>
    <w:p>
      <w:pPr>
        <w:spacing w:before="22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Freeman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Hospital,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Newcastle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upon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Tyne,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NE7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7DN,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United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Kingdom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63"/>
        <w:ind w:left="0"/>
        <w:rPr>
          <w:b/>
        </w:rPr>
      </w:pPr>
    </w:p>
    <w:p>
      <w:pPr>
        <w:spacing w:line="429" w:lineRule="auto" w:before="0"/>
        <w:ind w:left="23" w:right="658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Abstract Background</w:t>
      </w:r>
    </w:p>
    <w:p>
      <w:pPr>
        <w:pStyle w:val="BodyText"/>
        <w:spacing w:line="292" w:lineRule="auto" w:before="1"/>
      </w:pPr>
      <w:r>
        <w:rPr>
          <w:spacing w:val="-4"/>
        </w:rPr>
        <w:t>Somatostatin</w:t>
      </w:r>
      <w:r>
        <w:rPr>
          <w:spacing w:val="-19"/>
        </w:rPr>
        <w:t> </w:t>
      </w:r>
      <w:r>
        <w:rPr>
          <w:spacing w:val="-4"/>
        </w:rPr>
        <w:t>analogues</w:t>
      </w:r>
      <w:r>
        <w:rPr>
          <w:spacing w:val="-17"/>
        </w:rPr>
        <w:t> </w:t>
      </w:r>
      <w:r>
        <w:rPr>
          <w:spacing w:val="-4"/>
        </w:rPr>
        <w:t>such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octreotide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frequently</w:t>
      </w:r>
      <w:r>
        <w:rPr>
          <w:spacing w:val="-19"/>
        </w:rPr>
        <w:t> </w:t>
      </w:r>
      <w:r>
        <w:rPr>
          <w:spacing w:val="-4"/>
        </w:rPr>
        <w:t>used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prevention</w:t>
      </w:r>
      <w:r>
        <w:rPr>
          <w:spacing w:val="-19"/>
        </w:rPr>
        <w:t> </w:t>
      </w:r>
      <w:r>
        <w:rPr>
          <w:spacing w:val="-4"/>
        </w:rPr>
        <w:t>of </w:t>
      </w:r>
      <w:r>
        <w:rPr>
          <w:spacing w:val="-2"/>
        </w:rPr>
        <w:t>carcinoid</w:t>
      </w:r>
      <w:r>
        <w:rPr>
          <w:spacing w:val="-27"/>
        </w:rPr>
        <w:t> </w:t>
      </w:r>
      <w:r>
        <w:rPr>
          <w:spacing w:val="-2"/>
        </w:rPr>
        <w:t>syndrome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perioperative</w:t>
      </w:r>
      <w:r>
        <w:rPr>
          <w:spacing w:val="-22"/>
        </w:rPr>
        <w:t> </w:t>
      </w:r>
      <w:r>
        <w:rPr>
          <w:spacing w:val="-2"/>
        </w:rPr>
        <w:t>period</w:t>
      </w:r>
      <w:r>
        <w:rPr>
          <w:spacing w:val="-23"/>
        </w:rPr>
        <w:t> </w:t>
      </w:r>
      <w:r>
        <w:rPr>
          <w:spacing w:val="-2"/>
        </w:rPr>
        <w:t>following</w:t>
      </w:r>
      <w:r>
        <w:rPr>
          <w:spacing w:val="-25"/>
        </w:rPr>
        <w:t> </w:t>
      </w:r>
      <w:r>
        <w:rPr>
          <w:spacing w:val="-2"/>
        </w:rPr>
        <w:t>neuroendocrine</w:t>
      </w:r>
      <w:r>
        <w:rPr>
          <w:spacing w:val="-20"/>
        </w:rPr>
        <w:t> </w:t>
      </w:r>
      <w:r>
        <w:rPr>
          <w:spacing w:val="-2"/>
        </w:rPr>
        <w:t>tumour resection.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reported</w:t>
      </w:r>
      <w:r>
        <w:rPr>
          <w:spacing w:val="-24"/>
        </w:rPr>
        <w:t> </w:t>
      </w:r>
      <w:r>
        <w:rPr>
          <w:spacing w:val="-2"/>
        </w:rPr>
        <w:t>case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ventricular</w:t>
      </w:r>
      <w:r>
        <w:rPr>
          <w:spacing w:val="-23"/>
        </w:rPr>
        <w:t> </w:t>
      </w:r>
      <w:r>
        <w:rPr>
          <w:spacing w:val="-2"/>
        </w:rPr>
        <w:t>asystole</w:t>
      </w:r>
      <w:r>
        <w:rPr>
          <w:spacing w:val="-23"/>
        </w:rPr>
        <w:t> </w:t>
      </w:r>
      <w:r>
        <w:rPr>
          <w:spacing w:val="-2"/>
        </w:rPr>
        <w:t>associated</w:t>
      </w:r>
      <w:r>
        <w:rPr>
          <w:spacing w:val="-23"/>
        </w:rPr>
        <w:t> </w:t>
      </w:r>
      <w:r>
        <w:rPr>
          <w:spacing w:val="-2"/>
        </w:rPr>
        <w:t>with</w:t>
      </w:r>
    </w:p>
    <w:p>
      <w:pPr>
        <w:pStyle w:val="BodyText"/>
        <w:spacing w:line="292" w:lineRule="auto"/>
      </w:pPr>
      <w:r>
        <w:rPr>
          <w:spacing w:val="-6"/>
        </w:rPr>
        <w:t>postoperative</w:t>
      </w:r>
      <w:r>
        <w:rPr>
          <w:spacing w:val="-13"/>
        </w:rPr>
        <w:t> </w:t>
      </w:r>
      <w:r>
        <w:rPr>
          <w:spacing w:val="-6"/>
        </w:rPr>
        <w:t>intravenous</w:t>
      </w:r>
      <w:r>
        <w:rPr>
          <w:spacing w:val="-12"/>
        </w:rPr>
        <w:t> </w:t>
      </w:r>
      <w:r>
        <w:rPr>
          <w:spacing w:val="-6"/>
        </w:rPr>
        <w:t>octreotide</w:t>
      </w:r>
      <w:r>
        <w:rPr>
          <w:spacing w:val="-13"/>
        </w:rPr>
        <w:t> </w:t>
      </w:r>
      <w:r>
        <w:rPr>
          <w:spacing w:val="-6"/>
        </w:rPr>
        <w:t>infusion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patient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4"/>
        </w:rPr>
        <w:t> </w:t>
      </w:r>
      <w:r>
        <w:rPr>
          <w:spacing w:val="-6"/>
        </w:rPr>
        <w:t>previous</w:t>
      </w:r>
      <w:r>
        <w:rPr>
          <w:spacing w:val="-12"/>
        </w:rPr>
        <w:t> </w:t>
      </w:r>
      <w:r>
        <w:rPr>
          <w:spacing w:val="-6"/>
        </w:rPr>
        <w:t>congenital </w:t>
      </w:r>
      <w:r>
        <w:rPr/>
        <w:t>cardiac</w:t>
      </w:r>
      <w:r>
        <w:rPr>
          <w:spacing w:val="-14"/>
        </w:rPr>
        <w:t> </w:t>
      </w:r>
      <w:r>
        <w:rPr/>
        <w:t>surgery.</w:t>
      </w:r>
    </w:p>
    <w:p>
      <w:pPr>
        <w:spacing w:before="15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14"/>
          <w:sz w:val="24"/>
        </w:rPr>
        <w:t> </w:t>
      </w:r>
      <w:r>
        <w:rPr>
          <w:b/>
          <w:spacing w:val="-2"/>
          <w:sz w:val="24"/>
        </w:rPr>
        <w:t>presentation</w:t>
      </w:r>
    </w:p>
    <w:p>
      <w:pPr>
        <w:pStyle w:val="BodyText"/>
        <w:spacing w:line="290" w:lineRule="auto" w:before="220"/>
      </w:pPr>
      <w:r>
        <w:rPr>
          <w:spacing w:val="-2"/>
        </w:rPr>
        <w:t>We</w:t>
      </w:r>
      <w:r>
        <w:rPr>
          <w:spacing w:val="-26"/>
        </w:rPr>
        <w:t> </w:t>
      </w:r>
      <w:r>
        <w:rPr>
          <w:spacing w:val="-2"/>
        </w:rPr>
        <w:t>present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case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62-year-old</w:t>
      </w:r>
      <w:r>
        <w:rPr>
          <w:spacing w:val="-25"/>
        </w:rPr>
        <w:t> </w:t>
      </w:r>
      <w:r>
        <w:rPr>
          <w:spacing w:val="-2"/>
        </w:rPr>
        <w:t>white</w:t>
      </w:r>
      <w:r>
        <w:rPr>
          <w:spacing w:val="-24"/>
        </w:rPr>
        <w:t> </w:t>
      </w:r>
      <w:r>
        <w:rPr>
          <w:spacing w:val="-2"/>
        </w:rPr>
        <w:t>British</w:t>
      </w:r>
      <w:r>
        <w:rPr>
          <w:spacing w:val="-25"/>
        </w:rPr>
        <w:t> </w:t>
      </w:r>
      <w:r>
        <w:rPr>
          <w:spacing w:val="-2"/>
        </w:rPr>
        <w:t>male</w:t>
      </w:r>
      <w:r>
        <w:rPr>
          <w:spacing w:val="-24"/>
        </w:rPr>
        <w:t> </w:t>
      </w:r>
      <w:r>
        <w:rPr>
          <w:spacing w:val="-2"/>
        </w:rPr>
        <w:t>patient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history</w:t>
      </w:r>
      <w:r>
        <w:rPr>
          <w:spacing w:val="-25"/>
        </w:rPr>
        <w:t> </w:t>
      </w:r>
      <w:r>
        <w:rPr>
          <w:spacing w:val="-2"/>
        </w:rPr>
        <w:t>of </w:t>
      </w:r>
      <w:r>
        <w:rPr>
          <w:spacing w:val="-4"/>
        </w:rPr>
        <w:t>previous</w:t>
      </w:r>
      <w:r>
        <w:rPr>
          <w:spacing w:val="-14"/>
        </w:rPr>
        <w:t> </w:t>
      </w:r>
      <w:r>
        <w:rPr>
          <w:spacing w:val="-4"/>
        </w:rPr>
        <w:t>congenital</w:t>
      </w:r>
      <w:r>
        <w:rPr>
          <w:spacing w:val="-17"/>
        </w:rPr>
        <w:t> </w:t>
      </w:r>
      <w:r>
        <w:rPr>
          <w:spacing w:val="-4"/>
        </w:rPr>
        <w:t>cardiac</w:t>
      </w:r>
      <w:r>
        <w:rPr>
          <w:spacing w:val="-17"/>
        </w:rPr>
        <w:t> </w:t>
      </w:r>
      <w:r>
        <w:rPr>
          <w:spacing w:val="-4"/>
        </w:rPr>
        <w:t>surgery</w:t>
      </w:r>
      <w:r>
        <w:rPr>
          <w:spacing w:val="-17"/>
        </w:rPr>
        <w:t> </w:t>
      </w:r>
      <w:r>
        <w:rPr>
          <w:spacing w:val="-4"/>
        </w:rPr>
        <w:t>who</w:t>
      </w:r>
      <w:r>
        <w:rPr>
          <w:spacing w:val="-14"/>
        </w:rPr>
        <w:t> </w:t>
      </w:r>
      <w:r>
        <w:rPr>
          <w:spacing w:val="-4"/>
        </w:rPr>
        <w:t>sustained</w:t>
      </w:r>
      <w:r>
        <w:rPr>
          <w:spacing w:val="-17"/>
        </w:rPr>
        <w:t> </w:t>
      </w:r>
      <w:r>
        <w:rPr>
          <w:spacing w:val="-4"/>
        </w:rPr>
        <w:t>multiple</w:t>
      </w:r>
      <w:r>
        <w:rPr>
          <w:spacing w:val="-16"/>
        </w:rPr>
        <w:t> </w:t>
      </w:r>
      <w:r>
        <w:rPr>
          <w:spacing w:val="-4"/>
        </w:rPr>
        <w:t>episodes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ventricular</w:t>
      </w:r>
    </w:p>
    <w:p>
      <w:pPr>
        <w:pStyle w:val="BodyText"/>
        <w:spacing w:line="292" w:lineRule="auto" w:before="3"/>
      </w:pPr>
      <w:r>
        <w:rPr>
          <w:spacing w:val="-4"/>
        </w:rPr>
        <w:t>asystole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associated</w:t>
      </w:r>
      <w:r>
        <w:rPr>
          <w:spacing w:val="-15"/>
        </w:rPr>
        <w:t> </w:t>
      </w:r>
      <w:r>
        <w:rPr>
          <w:spacing w:val="-4"/>
        </w:rPr>
        <w:t>loss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cardiac</w:t>
      </w:r>
      <w:r>
        <w:rPr>
          <w:spacing w:val="-15"/>
        </w:rPr>
        <w:t> </w:t>
      </w:r>
      <w:r>
        <w:rPr>
          <w:spacing w:val="-4"/>
        </w:rPr>
        <w:t>output</w:t>
      </w:r>
      <w:r>
        <w:rPr>
          <w:spacing w:val="-15"/>
        </w:rPr>
        <w:t> </w:t>
      </w:r>
      <w:r>
        <w:rPr>
          <w:spacing w:val="-4"/>
        </w:rPr>
        <w:t>during</w:t>
      </w:r>
      <w:r>
        <w:rPr>
          <w:spacing w:val="-14"/>
        </w:rPr>
        <w:t> </w:t>
      </w:r>
      <w:r>
        <w:rPr>
          <w:spacing w:val="-4"/>
        </w:rPr>
        <w:t>octreotide</w:t>
      </w:r>
      <w:r>
        <w:rPr>
          <w:spacing w:val="-14"/>
        </w:rPr>
        <w:t> </w:t>
      </w:r>
      <w:r>
        <w:rPr>
          <w:spacing w:val="-4"/>
        </w:rPr>
        <w:t>infusion.</w:t>
      </w:r>
      <w:r>
        <w:rPr>
          <w:spacing w:val="-14"/>
        </w:rPr>
        <w:t> </w:t>
      </w:r>
      <w:r>
        <w:rPr>
          <w:spacing w:val="-4"/>
        </w:rPr>
        <w:t>Recurrent </w:t>
      </w:r>
      <w:r>
        <w:rPr>
          <w:spacing w:val="-2"/>
        </w:rPr>
        <w:t>asystole</w:t>
      </w:r>
      <w:r>
        <w:rPr>
          <w:spacing w:val="-14"/>
        </w:rPr>
        <w:t> </w:t>
      </w:r>
      <w:r>
        <w:rPr>
          <w:spacing w:val="-2"/>
        </w:rPr>
        <w:t>ceased</w:t>
      </w:r>
      <w:r>
        <w:rPr>
          <w:spacing w:val="-14"/>
        </w:rPr>
        <w:t> </w:t>
      </w:r>
      <w:r>
        <w:rPr>
          <w:spacing w:val="-2"/>
        </w:rPr>
        <w:t>following</w:t>
      </w:r>
      <w:r>
        <w:rPr>
          <w:spacing w:val="-15"/>
        </w:rPr>
        <w:t> </w:t>
      </w:r>
      <w:r>
        <w:rPr>
          <w:spacing w:val="-2"/>
        </w:rPr>
        <w:t>discontinuation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octreotide</w:t>
      </w:r>
      <w:r>
        <w:rPr>
          <w:spacing w:val="-14"/>
        </w:rPr>
        <w:t> </w:t>
      </w:r>
      <w:r>
        <w:rPr>
          <w:spacing w:val="-2"/>
        </w:rPr>
        <w:t>infusion.</w:t>
      </w:r>
    </w:p>
    <w:p>
      <w:pPr>
        <w:spacing w:before="160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105"/>
          <w:sz w:val="24"/>
        </w:rPr>
        <w:t>Conclusion</w:t>
      </w:r>
    </w:p>
    <w:p>
      <w:pPr>
        <w:pStyle w:val="BodyText"/>
        <w:spacing w:line="290" w:lineRule="auto" w:before="221"/>
        <w:ind w:right="6"/>
        <w:jc w:val="both"/>
      </w:pPr>
      <w:r>
        <w:rPr>
          <w:spacing w:val="-6"/>
        </w:rPr>
        <w:t>Physicians</w:t>
      </w:r>
      <w:r>
        <w:rPr>
          <w:spacing w:val="-9"/>
        </w:rPr>
        <w:t> </w:t>
      </w:r>
      <w:r>
        <w:rPr>
          <w:spacing w:val="-6"/>
        </w:rPr>
        <w:t>caring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patients</w:t>
      </w:r>
      <w:r>
        <w:rPr>
          <w:spacing w:val="-8"/>
        </w:rPr>
        <w:t> </w:t>
      </w:r>
      <w:r>
        <w:rPr>
          <w:spacing w:val="-6"/>
        </w:rPr>
        <w:t>receiving</w:t>
      </w:r>
      <w:r>
        <w:rPr>
          <w:spacing w:val="-10"/>
        </w:rPr>
        <w:t> </w:t>
      </w:r>
      <w:r>
        <w:rPr>
          <w:spacing w:val="-6"/>
        </w:rPr>
        <w:t>intravenous</w:t>
      </w:r>
      <w:r>
        <w:rPr>
          <w:spacing w:val="-9"/>
        </w:rPr>
        <w:t> </w:t>
      </w:r>
      <w:r>
        <w:rPr>
          <w:spacing w:val="-6"/>
        </w:rPr>
        <w:t>octreotide</w:t>
      </w:r>
      <w:r>
        <w:rPr>
          <w:spacing w:val="-9"/>
        </w:rPr>
        <w:t> </w:t>
      </w:r>
      <w:r>
        <w:rPr>
          <w:spacing w:val="-6"/>
        </w:rPr>
        <w:t>should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aware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the </w:t>
      </w:r>
      <w:r>
        <w:rPr>
          <w:spacing w:val="-4"/>
        </w:rPr>
        <w:t>potential</w:t>
      </w:r>
      <w:r>
        <w:rPr>
          <w:spacing w:val="-13"/>
        </w:rPr>
        <w:t> </w:t>
      </w:r>
      <w:r>
        <w:rPr>
          <w:spacing w:val="-4"/>
        </w:rPr>
        <w:t>arrhythmogenic</w:t>
      </w:r>
      <w:r>
        <w:rPr>
          <w:spacing w:val="-13"/>
        </w:rPr>
        <w:t> </w:t>
      </w:r>
      <w:r>
        <w:rPr>
          <w:spacing w:val="-4"/>
        </w:rPr>
        <w:t>adverse</w:t>
      </w:r>
      <w:r>
        <w:rPr>
          <w:spacing w:val="-12"/>
        </w:rPr>
        <w:t> </w:t>
      </w:r>
      <w:r>
        <w:rPr>
          <w:spacing w:val="-4"/>
        </w:rPr>
        <w:t>effects.</w:t>
      </w:r>
      <w:r>
        <w:rPr>
          <w:spacing w:val="-11"/>
        </w:rPr>
        <w:t> </w:t>
      </w:r>
      <w:r>
        <w:rPr>
          <w:spacing w:val="-4"/>
        </w:rPr>
        <w:t>While</w:t>
      </w:r>
      <w:r>
        <w:rPr>
          <w:spacing w:val="-12"/>
        </w:rPr>
        <w:t> </w:t>
      </w:r>
      <w:r>
        <w:rPr>
          <w:spacing w:val="-4"/>
        </w:rPr>
        <w:t>specific</w:t>
      </w:r>
      <w:r>
        <w:rPr>
          <w:spacing w:val="-13"/>
        </w:rPr>
        <w:t> </w:t>
      </w:r>
      <w:r>
        <w:rPr>
          <w:spacing w:val="-4"/>
        </w:rPr>
        <w:t>risk</w:t>
      </w:r>
      <w:r>
        <w:rPr>
          <w:spacing w:val="-12"/>
        </w:rPr>
        <w:t> </w:t>
      </w:r>
      <w:r>
        <w:rPr>
          <w:spacing w:val="-4"/>
        </w:rPr>
        <w:t>factors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octreotide-</w:t>
      </w:r>
    </w:p>
    <w:p>
      <w:pPr>
        <w:pStyle w:val="BodyText"/>
        <w:spacing w:line="290" w:lineRule="auto" w:before="5"/>
        <w:ind w:right="72"/>
        <w:jc w:val="both"/>
      </w:pPr>
      <w:r>
        <w:rPr>
          <w:spacing w:val="-4"/>
        </w:rPr>
        <w:t>associated</w:t>
      </w:r>
      <w:r>
        <w:rPr>
          <w:spacing w:val="-15"/>
        </w:rPr>
        <w:t> </w:t>
      </w:r>
      <w:r>
        <w:rPr>
          <w:spacing w:val="-4"/>
        </w:rPr>
        <w:t>arrhythmias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generally</w:t>
      </w:r>
      <w:r>
        <w:rPr>
          <w:spacing w:val="-14"/>
        </w:rPr>
        <w:t> </w:t>
      </w:r>
      <w:r>
        <w:rPr>
          <w:spacing w:val="-4"/>
        </w:rPr>
        <w:t>understood,</w:t>
      </w:r>
      <w:r>
        <w:rPr>
          <w:spacing w:val="-14"/>
        </w:rPr>
        <w:t> </w:t>
      </w:r>
      <w:r>
        <w:rPr>
          <w:spacing w:val="-4"/>
        </w:rPr>
        <w:t>previous</w:t>
      </w:r>
      <w:r>
        <w:rPr>
          <w:spacing w:val="-14"/>
        </w:rPr>
        <w:t> </w:t>
      </w:r>
      <w:r>
        <w:rPr>
          <w:spacing w:val="-4"/>
        </w:rPr>
        <w:t>cardiac</w:t>
      </w:r>
      <w:r>
        <w:rPr>
          <w:spacing w:val="-14"/>
        </w:rPr>
        <w:t> </w:t>
      </w:r>
      <w:r>
        <w:rPr>
          <w:spacing w:val="-4"/>
        </w:rPr>
        <w:t>surgery</w:t>
      </w:r>
      <w:r>
        <w:rPr>
          <w:spacing w:val="-14"/>
        </w:rPr>
        <w:t> </w:t>
      </w:r>
      <w:r>
        <w:rPr>
          <w:spacing w:val="-4"/>
        </w:rPr>
        <w:t>could potentially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one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these.</w:t>
      </w:r>
      <w:r>
        <w:rPr>
          <w:spacing w:val="-14"/>
        </w:rPr>
        <w:t> </w:t>
      </w:r>
      <w:r>
        <w:rPr>
          <w:spacing w:val="-4"/>
        </w:rPr>
        <w:t>Risk</w:t>
      </w:r>
      <w:r>
        <w:rPr>
          <w:spacing w:val="-15"/>
        </w:rPr>
        <w:t> </w:t>
      </w:r>
      <w:r>
        <w:rPr>
          <w:spacing w:val="-4"/>
        </w:rPr>
        <w:t>stratification</w:t>
      </w:r>
      <w:r>
        <w:rPr>
          <w:spacing w:val="-14"/>
        </w:rPr>
        <w:t> </w:t>
      </w:r>
      <w:r>
        <w:rPr>
          <w:spacing w:val="-4"/>
        </w:rPr>
        <w:t>guidance</w:t>
      </w:r>
      <w:r>
        <w:rPr>
          <w:spacing w:val="-15"/>
        </w:rPr>
        <w:t> </w:t>
      </w:r>
      <w:r>
        <w:rPr>
          <w:spacing w:val="-4"/>
        </w:rPr>
        <w:t>regarding</w:t>
      </w:r>
      <w:r>
        <w:rPr>
          <w:spacing w:val="-14"/>
        </w:rPr>
        <w:t> </w:t>
      </w:r>
      <w:r>
        <w:rPr>
          <w:spacing w:val="-4"/>
        </w:rPr>
        <w:t>patient</w:t>
      </w:r>
      <w:r>
        <w:rPr>
          <w:spacing w:val="-17"/>
        </w:rPr>
        <w:t> </w:t>
      </w:r>
      <w:r>
        <w:rPr>
          <w:spacing w:val="-4"/>
        </w:rPr>
        <w:t>groups</w:t>
      </w:r>
    </w:p>
    <w:p>
      <w:pPr>
        <w:pStyle w:val="BodyText"/>
        <w:spacing w:line="290" w:lineRule="auto" w:before="4"/>
        <w:ind w:right="308"/>
        <w:jc w:val="both"/>
      </w:pPr>
      <w:r>
        <w:rPr>
          <w:spacing w:val="-8"/>
        </w:rPr>
        <w:t>requiring heightened monitoring while receiving intravenous octreotide is required. </w:t>
      </w:r>
      <w:r>
        <w:rPr>
          <w:spacing w:val="-4"/>
        </w:rPr>
        <w:t>Monitoring</w:t>
      </w:r>
      <w:r>
        <w:rPr>
          <w:spacing w:val="-8"/>
        </w:rPr>
        <w:t> </w:t>
      </w:r>
      <w:r>
        <w:rPr>
          <w:spacing w:val="-4"/>
        </w:rPr>
        <w:t>recommendations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involve</w:t>
      </w:r>
      <w:r>
        <w:rPr>
          <w:spacing w:val="-7"/>
        </w:rPr>
        <w:t> </w:t>
      </w:r>
      <w:r>
        <w:rPr>
          <w:spacing w:val="-4"/>
        </w:rPr>
        <w:t>invasive</w:t>
      </w:r>
      <w:r>
        <w:rPr>
          <w:spacing w:val="-7"/>
        </w:rPr>
        <w:t> </w:t>
      </w:r>
      <w:r>
        <w:rPr>
          <w:spacing w:val="-4"/>
        </w:rPr>
        <w:t>blood</w:t>
      </w:r>
      <w:r>
        <w:rPr>
          <w:spacing w:val="-8"/>
        </w:rPr>
        <w:t> </w:t>
      </w:r>
      <w:r>
        <w:rPr>
          <w:spacing w:val="-4"/>
        </w:rPr>
        <w:t>pressure</w:t>
      </w:r>
      <w:r>
        <w:rPr>
          <w:spacing w:val="-7"/>
        </w:rPr>
        <w:t> </w:t>
      </w:r>
      <w:r>
        <w:rPr>
          <w:spacing w:val="-4"/>
        </w:rPr>
        <w:t>monitoring</w:t>
      </w:r>
      <w:r>
        <w:rPr>
          <w:spacing w:val="-8"/>
        </w:rPr>
        <w:t> </w:t>
      </w:r>
      <w:r>
        <w:rPr>
          <w:spacing w:val="-4"/>
        </w:rPr>
        <w:t>and </w:t>
      </w:r>
      <w:r>
        <w:rPr/>
        <w:t>telemetry in these cases.</w:t>
      </w:r>
    </w:p>
    <w:sectPr>
      <w:type w:val="continuous"/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Mansolas, Nick</dc:creator>
  <dcterms:created xsi:type="dcterms:W3CDTF">2026-04-16T07:17:02Z</dcterms:created>
  <dcterms:modified xsi:type="dcterms:W3CDTF">2026-04-16T07:17:02Z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for Microsoft 365</vt:lpwstr>
  </property>
</Properties>
</file>