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bookmarkStart w:name="Design of Mn(II) e Ni(II)-NHC complexes " w:id="1"/>
      <w:bookmarkEnd w:id="1"/>
      <w:r>
        <w:rPr>
          <w:b w:val="0"/>
        </w:rPr>
      </w:r>
      <w:r>
        <w:rPr/>
        <w:t>Design</w:t>
      </w:r>
      <w:r>
        <w:rPr>
          <w:spacing w:val="-11"/>
        </w:rPr>
        <w:t> </w:t>
      </w:r>
      <w:r>
        <w:rPr/>
        <w:t>of</w:t>
      </w:r>
      <w:r>
        <w:rPr>
          <w:spacing w:val="-3"/>
        </w:rPr>
        <w:t> </w:t>
      </w:r>
      <w:r>
        <w:rPr/>
        <w:t>Mn(II)</w:t>
      </w:r>
      <w:r>
        <w:rPr>
          <w:spacing w:val="-6"/>
        </w:rPr>
        <w:t> </w:t>
      </w:r>
      <w:r>
        <w:rPr/>
        <w:t>e</w:t>
      </w:r>
      <w:r>
        <w:rPr>
          <w:spacing w:val="-4"/>
        </w:rPr>
        <w:t> </w:t>
      </w:r>
      <w:r>
        <w:rPr/>
        <w:t>Ni(II)-NHC</w:t>
      </w:r>
      <w:r>
        <w:rPr>
          <w:spacing w:val="-5"/>
        </w:rPr>
        <w:t> </w:t>
      </w:r>
      <w:r>
        <w:rPr/>
        <w:t>complexes</w:t>
      </w:r>
      <w:r>
        <w:rPr>
          <w:spacing w:val="-4"/>
        </w:rPr>
        <w:t> </w:t>
      </w:r>
      <w:r>
        <w:rPr/>
        <w:t>as</w:t>
      </w:r>
      <w:r>
        <w:rPr>
          <w:spacing w:val="-4"/>
        </w:rPr>
        <w:t> </w:t>
      </w:r>
      <w:r>
        <w:rPr/>
        <w:t>photocatalysts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radical polymerization under visible light and 3D printing</w:t>
      </w:r>
    </w:p>
    <w:p>
      <w:pPr>
        <w:pStyle w:val="BodyText"/>
        <w:spacing w:before="224"/>
        <w:jc w:val="left"/>
        <w:rPr>
          <w:b/>
          <w:sz w:val="28"/>
        </w:rPr>
      </w:pPr>
    </w:p>
    <w:p>
      <w:pPr>
        <w:spacing w:line="360" w:lineRule="auto" w:before="1"/>
        <w:ind w:left="4124" w:right="0" w:hanging="3683"/>
        <w:jc w:val="left"/>
        <w:rPr>
          <w:i/>
          <w:sz w:val="24"/>
        </w:rPr>
      </w:pPr>
      <w:r>
        <w:rPr>
          <w:i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1180185</wp:posOffset>
                </wp:positionH>
                <wp:positionV relativeFrom="paragraph">
                  <wp:posOffset>158040</wp:posOffset>
                </wp:positionV>
                <wp:extent cx="670560" cy="635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7056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560" h="6350">
                              <a:moveTo>
                                <a:pt x="67056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70560" y="6096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92.928001pt;margin-top:12.444101pt;width:52.8pt;height:.48pt;mso-position-horizontal-relative:page;mso-position-vertical-relative:paragraph;z-index:15728640" id="docshape1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i/>
          <w:sz w:val="24"/>
        </w:rPr>
        <w:t>B.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Goi</w:t>
      </w:r>
      <w:r>
        <w:rPr>
          <w:i/>
          <w:sz w:val="24"/>
          <w:vertAlign w:val="superscript"/>
        </w:rPr>
        <w:t>1*</w:t>
      </w:r>
      <w:r>
        <w:rPr>
          <w:i/>
          <w:sz w:val="24"/>
          <w:vertAlign w:val="baseline"/>
        </w:rPr>
        <w:t>,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C.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Bignardi</w:t>
      </w:r>
      <w:r>
        <w:rPr>
          <w:i/>
          <w:sz w:val="24"/>
          <w:vertAlign w:val="superscript"/>
        </w:rPr>
        <w:t>1</w:t>
      </w:r>
      <w:r>
        <w:rPr>
          <w:i/>
          <w:sz w:val="24"/>
          <w:vertAlign w:val="baseline"/>
        </w:rPr>
        <w:t>,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N.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Pesqueira</w:t>
      </w:r>
      <w:r>
        <w:rPr>
          <w:i/>
          <w:sz w:val="24"/>
          <w:vertAlign w:val="superscript"/>
        </w:rPr>
        <w:t>1</w:t>
      </w:r>
      <w:r>
        <w:rPr>
          <w:i/>
          <w:sz w:val="24"/>
          <w:vertAlign w:val="baseline"/>
        </w:rPr>
        <w:t>, Y. M.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Shimizo</w:t>
      </w:r>
      <w:r>
        <w:rPr>
          <w:i/>
          <w:sz w:val="24"/>
          <w:vertAlign w:val="superscript"/>
        </w:rPr>
        <w:t>1</w:t>
      </w:r>
      <w:r>
        <w:rPr>
          <w:i/>
          <w:sz w:val="24"/>
          <w:vertAlign w:val="baseline"/>
        </w:rPr>
        <w:t>, V. P.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Carvalho-Jr</w:t>
      </w:r>
      <w:r>
        <w:rPr>
          <w:i/>
          <w:sz w:val="24"/>
          <w:vertAlign w:val="superscript"/>
        </w:rPr>
        <w:t>1</w:t>
      </w:r>
      <w:r>
        <w:rPr>
          <w:i/>
          <w:sz w:val="24"/>
          <w:vertAlign w:val="baseline"/>
        </w:rPr>
        <w:t>, Jacques </w:t>
      </w:r>
      <w:r>
        <w:rPr>
          <w:i/>
          <w:spacing w:val="-2"/>
          <w:sz w:val="24"/>
          <w:vertAlign w:val="baseline"/>
        </w:rPr>
        <w:t>Lalevée</w:t>
      </w:r>
      <w:r>
        <w:rPr>
          <w:i/>
          <w:spacing w:val="-2"/>
          <w:sz w:val="24"/>
          <w:vertAlign w:val="superscript"/>
        </w:rPr>
        <w:t>2</w:t>
      </w:r>
    </w:p>
    <w:p>
      <w:pPr>
        <w:spacing w:line="360" w:lineRule="auto" w:before="2"/>
        <w:ind w:left="1" w:right="4" w:firstLine="0"/>
        <w:jc w:val="center"/>
        <w:rPr>
          <w:i/>
          <w:sz w:val="24"/>
        </w:rPr>
      </w:pPr>
      <w:r>
        <w:rPr>
          <w:i/>
          <w:sz w:val="24"/>
          <w:vertAlign w:val="superscript"/>
        </w:rPr>
        <w:t>1</w:t>
      </w:r>
      <w:r>
        <w:rPr>
          <w:i/>
          <w:sz w:val="24"/>
          <w:vertAlign w:val="baseline"/>
        </w:rPr>
        <w:t>Department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of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Chemistry</w:t>
      </w:r>
      <w:r>
        <w:rPr>
          <w:i/>
          <w:spacing w:val="-6"/>
          <w:sz w:val="24"/>
          <w:vertAlign w:val="baseline"/>
        </w:rPr>
        <w:t> </w:t>
      </w:r>
      <w:r>
        <w:rPr>
          <w:i/>
          <w:sz w:val="24"/>
          <w:vertAlign w:val="baseline"/>
        </w:rPr>
        <w:t>and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Biochemistry,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FCT-UNESP,</w:t>
      </w:r>
      <w:r>
        <w:rPr>
          <w:i/>
          <w:spacing w:val="-4"/>
          <w:sz w:val="24"/>
          <w:vertAlign w:val="baseline"/>
        </w:rPr>
        <w:t> </w:t>
      </w:r>
      <w:r>
        <w:rPr>
          <w:i/>
          <w:sz w:val="24"/>
          <w:vertAlign w:val="baseline"/>
        </w:rPr>
        <w:t>Presidente</w:t>
      </w:r>
      <w:r>
        <w:rPr>
          <w:i/>
          <w:spacing w:val="-6"/>
          <w:sz w:val="24"/>
          <w:vertAlign w:val="baseline"/>
        </w:rPr>
        <w:t> </w:t>
      </w:r>
      <w:r>
        <w:rPr>
          <w:i/>
          <w:sz w:val="24"/>
          <w:vertAlign w:val="baseline"/>
        </w:rPr>
        <w:t>Prudente,</w:t>
      </w:r>
      <w:r>
        <w:rPr>
          <w:i/>
          <w:spacing w:val="-5"/>
          <w:sz w:val="24"/>
          <w:vertAlign w:val="baseline"/>
        </w:rPr>
        <w:t> </w:t>
      </w:r>
      <w:r>
        <w:rPr>
          <w:i/>
          <w:sz w:val="24"/>
          <w:vertAlign w:val="baseline"/>
        </w:rPr>
        <w:t>Brazil </w:t>
      </w:r>
      <w:r>
        <w:rPr>
          <w:i/>
          <w:sz w:val="24"/>
          <w:vertAlign w:val="superscript"/>
        </w:rPr>
        <w:t>2</w:t>
      </w:r>
      <w:r>
        <w:rPr>
          <w:i/>
          <w:sz w:val="24"/>
          <w:vertAlign w:val="baseline"/>
        </w:rPr>
        <w:t>Institut de Science des Matériaux de Mulhouse, Université de Haute Alsace, France </w:t>
      </w:r>
      <w:hyperlink r:id="rId5">
        <w:r>
          <w:rPr>
            <w:i/>
            <w:spacing w:val="-2"/>
            <w:sz w:val="24"/>
            <w:vertAlign w:val="baseline"/>
          </w:rPr>
          <w:t>beatriz.goi@unesp.br</w:t>
        </w:r>
      </w:hyperlink>
    </w:p>
    <w:p>
      <w:pPr>
        <w:spacing w:line="273" w:lineRule="exact" w:before="0"/>
        <w:ind w:left="9" w:right="0" w:firstLine="0"/>
        <w:jc w:val="center"/>
        <w:rPr>
          <w:i/>
          <w:sz w:val="24"/>
        </w:rPr>
      </w:pPr>
      <w:r>
        <w:rPr>
          <w:i/>
          <w:sz w:val="24"/>
        </w:rPr>
        <w:t>+55</w:t>
      </w:r>
      <w:r>
        <w:rPr>
          <w:i/>
          <w:spacing w:val="1"/>
          <w:sz w:val="24"/>
        </w:rPr>
        <w:t> </w:t>
      </w:r>
      <w:r>
        <w:rPr>
          <w:i/>
          <w:sz w:val="24"/>
        </w:rPr>
        <w:t>(18)</w:t>
      </w:r>
      <w:r>
        <w:rPr>
          <w:i/>
          <w:spacing w:val="2"/>
          <w:sz w:val="24"/>
        </w:rPr>
        <w:t> </w:t>
      </w:r>
      <w:r>
        <w:rPr>
          <w:i/>
          <w:sz w:val="24"/>
        </w:rPr>
        <w:t>98122-</w:t>
      </w:r>
      <w:r>
        <w:rPr>
          <w:i/>
          <w:spacing w:val="-4"/>
          <w:sz w:val="24"/>
        </w:rPr>
        <w:t>1673</w:t>
      </w:r>
    </w:p>
    <w:p>
      <w:pPr>
        <w:pStyle w:val="BodyText"/>
        <w:spacing w:before="139"/>
        <w:jc w:val="left"/>
        <w:rPr>
          <w:i/>
        </w:rPr>
      </w:pPr>
    </w:p>
    <w:p>
      <w:pPr>
        <w:pStyle w:val="BodyText"/>
        <w:ind w:left="23" w:right="14"/>
        <w:rPr>
          <w:position w:val="2"/>
        </w:rPr>
      </w:pPr>
      <w:r>
        <w:rPr/>
        <w:t>In recent years, metal-based photocatalysts have emerged as key players in the development of efficient photopolymerization processes and 3D printing technologies. This work</w:t>
      </w:r>
      <w:r>
        <w:rPr>
          <w:spacing w:val="40"/>
        </w:rPr>
        <w:t> </w:t>
      </w:r>
      <w:r>
        <w:rPr/>
        <w:t>highlights the design and photochemical evaluation of two new photocatalytic systems based on first-row transition metals coordinated to N-heterocyclic carbene (NHC) ligands: a </w:t>
      </w:r>
      <w:r>
        <w:rPr>
          <w:position w:val="2"/>
        </w:rPr>
        <w:t>manganese(II) complex [Mn(PyImes)</w:t>
      </w:r>
      <w:r>
        <w:rPr>
          <w:sz w:val="16"/>
        </w:rPr>
        <w:t>2</w:t>
      </w:r>
      <w:r>
        <w:rPr>
          <w:position w:val="2"/>
        </w:rPr>
        <w:t>](PF</w:t>
      </w:r>
      <w:r>
        <w:rPr>
          <w:sz w:val="16"/>
        </w:rPr>
        <w:t>6</w:t>
      </w:r>
      <w:r>
        <w:rPr>
          <w:position w:val="2"/>
        </w:rPr>
        <w:t>)</w:t>
      </w:r>
      <w:r>
        <w:rPr>
          <w:sz w:val="16"/>
        </w:rPr>
        <w:t>2</w:t>
      </w:r>
      <w:r>
        <w:rPr>
          <w:spacing w:val="29"/>
          <w:sz w:val="16"/>
        </w:rPr>
        <w:t> </w:t>
      </w:r>
      <w:r>
        <w:rPr>
          <w:position w:val="2"/>
        </w:rPr>
        <w:t>and nickel(II) complexes [Ni(Py-NHC)</w:t>
      </w:r>
      <w:r>
        <w:rPr>
          <w:sz w:val="16"/>
        </w:rPr>
        <w:t>2</w:t>
      </w:r>
      <w:r>
        <w:rPr>
          <w:position w:val="2"/>
        </w:rPr>
        <w:t>](PF</w:t>
      </w:r>
      <w:r>
        <w:rPr>
          <w:sz w:val="16"/>
        </w:rPr>
        <w:t>6</w:t>
      </w:r>
      <w:r>
        <w:rPr>
          <w:position w:val="2"/>
        </w:rPr>
        <w:t>)</w:t>
      </w:r>
      <w:r>
        <w:rPr>
          <w:sz w:val="16"/>
        </w:rPr>
        <w:t>2</w:t>
      </w:r>
      <w:r>
        <w:rPr>
          <w:spacing w:val="40"/>
          <w:sz w:val="16"/>
        </w:rPr>
        <w:t> </w:t>
      </w:r>
      <w:r>
        <w:rPr>
          <w:position w:val="2"/>
        </w:rPr>
        <w:t>and</w:t>
      </w:r>
      <w:r>
        <w:rPr>
          <w:spacing w:val="80"/>
          <w:position w:val="2"/>
        </w:rPr>
        <w:t> </w:t>
      </w:r>
      <w:r>
        <w:rPr>
          <w:position w:val="2"/>
        </w:rPr>
        <w:t>[Ni(Ph-NHC)</w:t>
      </w:r>
      <w:r>
        <w:rPr>
          <w:sz w:val="16"/>
        </w:rPr>
        <w:t>2</w:t>
      </w:r>
      <w:r>
        <w:rPr>
          <w:position w:val="2"/>
        </w:rPr>
        <w:t>]</w:t>
      </w:r>
      <w:r>
        <w:rPr>
          <w:spacing w:val="80"/>
          <w:position w:val="2"/>
        </w:rPr>
        <w:t> </w:t>
      </w:r>
      <w:r>
        <w:rPr>
          <w:position w:val="2"/>
        </w:rPr>
        <w:t>(Figure</w:t>
      </w:r>
      <w:r>
        <w:rPr>
          <w:spacing w:val="80"/>
          <w:position w:val="2"/>
        </w:rPr>
        <w:t> </w:t>
      </w:r>
      <w:r>
        <w:rPr>
          <w:position w:val="2"/>
        </w:rPr>
        <w:t>1).</w:t>
      </w:r>
      <w:r>
        <w:rPr>
          <w:spacing w:val="80"/>
          <w:position w:val="2"/>
        </w:rPr>
        <w:t> </w:t>
      </w:r>
      <w:r>
        <w:rPr>
          <w:position w:val="2"/>
        </w:rPr>
        <w:t>These</w:t>
      </w:r>
      <w:r>
        <w:rPr>
          <w:spacing w:val="80"/>
          <w:position w:val="2"/>
        </w:rPr>
        <w:t> </w:t>
      </w:r>
      <w:r>
        <w:rPr>
          <w:position w:val="2"/>
        </w:rPr>
        <w:t>complexes</w:t>
      </w:r>
      <w:r>
        <w:rPr>
          <w:spacing w:val="80"/>
          <w:position w:val="2"/>
        </w:rPr>
        <w:t> </w:t>
      </w:r>
      <w:r>
        <w:rPr>
          <w:position w:val="2"/>
        </w:rPr>
        <w:t>exhibit</w:t>
      </w:r>
      <w:r>
        <w:rPr>
          <w:spacing w:val="80"/>
          <w:position w:val="2"/>
        </w:rPr>
        <w:t> </w:t>
      </w:r>
      <w:r>
        <w:rPr>
          <w:position w:val="2"/>
        </w:rPr>
        <w:t>visible-light</w:t>
      </w:r>
      <w:r>
        <w:rPr>
          <w:spacing w:val="80"/>
          <w:position w:val="2"/>
        </w:rPr>
        <w:t> </w:t>
      </w:r>
      <w:r>
        <w:rPr>
          <w:position w:val="2"/>
        </w:rPr>
        <w:t>absorption</w:t>
      </w:r>
      <w:r>
        <w:rPr>
          <w:spacing w:val="80"/>
          <w:position w:val="2"/>
        </w:rPr>
        <w:t> </w:t>
      </w:r>
      <w:r>
        <w:rPr>
          <w:position w:val="2"/>
        </w:rPr>
        <w:t>and</w:t>
      </w:r>
    </w:p>
    <w:p>
      <w:pPr>
        <w:pStyle w:val="BodyText"/>
        <w:ind w:left="5031" w:right="15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914400</wp:posOffset>
            </wp:positionH>
            <wp:positionV relativeFrom="paragraph">
              <wp:posOffset>27780</wp:posOffset>
            </wp:positionV>
            <wp:extent cx="3090545" cy="173799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90545" cy="1737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photoluminescence properties, making them suitable candidates for</w:t>
      </w:r>
      <w:r>
        <w:rPr>
          <w:spacing w:val="40"/>
        </w:rPr>
        <w:t> </w:t>
      </w:r>
      <w:r>
        <w:rPr/>
        <w:t>photoinduced free radical polymerization (FRP) and controlled radical photopolymerization</w:t>
      </w:r>
      <w:r>
        <w:rPr>
          <w:spacing w:val="-8"/>
        </w:rPr>
        <w:t> </w:t>
      </w:r>
      <w:r>
        <w:rPr/>
        <w:t>(CRP2). The</w:t>
      </w:r>
      <w:r>
        <w:rPr>
          <w:spacing w:val="-4"/>
        </w:rPr>
        <w:t> </w:t>
      </w:r>
      <w:r>
        <w:rPr/>
        <w:t>Mn(II) complex showed effective activation under LED (405–532 nm) and was successfully applied in laser-assisted 3D printing. Similarly, Ni(II)-NHC complexes</w:t>
      </w:r>
      <w:r>
        <w:rPr>
          <w:spacing w:val="77"/>
        </w:rPr>
        <w:t>   </w:t>
      </w:r>
      <w:r>
        <w:rPr/>
        <w:t>demonstrated</w:t>
      </w:r>
      <w:r>
        <w:rPr>
          <w:spacing w:val="79"/>
        </w:rPr>
        <w:t>   </w:t>
      </w:r>
      <w:r>
        <w:rPr>
          <w:spacing w:val="-2"/>
        </w:rPr>
        <w:t>excellent</w:t>
      </w:r>
    </w:p>
    <w:p>
      <w:pPr>
        <w:spacing w:before="177"/>
        <w:ind w:left="23" w:right="0" w:firstLine="0"/>
        <w:jc w:val="both"/>
        <w:rPr>
          <w:sz w:val="18"/>
        </w:rPr>
      </w:pPr>
      <w:r>
        <w:rPr>
          <w:b/>
          <w:sz w:val="18"/>
        </w:rPr>
        <w:t>Figure</w:t>
      </w:r>
      <w:r>
        <w:rPr>
          <w:b/>
          <w:spacing w:val="-4"/>
          <w:sz w:val="18"/>
        </w:rPr>
        <w:t> </w:t>
      </w:r>
      <w:r>
        <w:rPr>
          <w:b/>
          <w:sz w:val="18"/>
        </w:rPr>
        <w:t>1</w:t>
      </w:r>
      <w:r>
        <w:rPr>
          <w:sz w:val="18"/>
        </w:rPr>
        <w:t>.</w:t>
      </w:r>
      <w:r>
        <w:rPr>
          <w:spacing w:val="-2"/>
          <w:sz w:val="18"/>
        </w:rPr>
        <w:t> </w:t>
      </w:r>
      <w:r>
        <w:rPr>
          <w:sz w:val="18"/>
        </w:rPr>
        <w:t>Photoinitiating</w:t>
      </w:r>
      <w:r>
        <w:rPr>
          <w:spacing w:val="-5"/>
          <w:sz w:val="18"/>
        </w:rPr>
        <w:t> </w:t>
      </w:r>
      <w:r>
        <w:rPr>
          <w:sz w:val="18"/>
        </w:rPr>
        <w:t>system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5"/>
          <w:sz w:val="18"/>
        </w:rPr>
        <w:t> </w:t>
      </w:r>
      <w:r>
        <w:rPr>
          <w:sz w:val="18"/>
        </w:rPr>
        <w:t>NHC-Metal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5"/>
          <w:sz w:val="18"/>
        </w:rPr>
        <w:t> </w:t>
      </w:r>
      <w:r>
        <w:rPr>
          <w:sz w:val="18"/>
        </w:rPr>
        <w:t>3D</w:t>
      </w:r>
      <w:r>
        <w:rPr>
          <w:spacing w:val="-7"/>
          <w:sz w:val="18"/>
        </w:rPr>
        <w:t> </w:t>
      </w:r>
      <w:r>
        <w:rPr>
          <w:spacing w:val="-2"/>
          <w:sz w:val="18"/>
        </w:rPr>
        <w:t>printing</w:t>
      </w:r>
    </w:p>
    <w:p>
      <w:pPr>
        <w:pStyle w:val="BodyText"/>
        <w:spacing w:before="184"/>
        <w:ind w:left="23" w:right="22"/>
      </w:pPr>
      <w:r>
        <w:rPr/>
        <w:t>performance under 405 nm irradiation, with high monomer conversions and remarkable resolution in 3D patterns. Mechanistic investigations supported by</w:t>
      </w:r>
      <w:r>
        <w:rPr>
          <w:spacing w:val="-2"/>
        </w:rPr>
        <w:t> </w:t>
      </w:r>
      <w:r>
        <w:rPr/>
        <w:t>cyclic voltammetry, ESR, fluorescence quenching, and photolysis experiments confirmed their role as efficient photocatalysts via both oxidative and reductive pathways. These findings underline the potential of earth-abundant metal complexes as sustainable alternatives to precious metal- based systems in advanced manufacturing.</w:t>
      </w:r>
    </w:p>
    <w:p>
      <w:pPr>
        <w:pStyle w:val="BodyText"/>
        <w:spacing w:before="1"/>
        <w:ind w:left="998" w:right="15" w:hanging="975"/>
      </w:pPr>
      <w:r>
        <w:rPr/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901064</wp:posOffset>
            </wp:positionH>
            <wp:positionV relativeFrom="paragraph">
              <wp:posOffset>200750</wp:posOffset>
            </wp:positionV>
            <wp:extent cx="631825" cy="836294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1825" cy="8362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Beatriz E. Goi holds a Ph.D. in Physical Chemistry from the University of São Paulo (2006), with research stays in Spain (CSIC, Madrid) and Belgium (Université de Liège). She is currently an Associate Professor at UNESP – Presidente Prudente and a researcher</w:t>
      </w:r>
      <w:r>
        <w:rPr>
          <w:spacing w:val="-1"/>
        </w:rPr>
        <w:t> </w:t>
      </w:r>
      <w:r>
        <w:rPr/>
        <w:t>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Center for</w:t>
      </w:r>
      <w:r>
        <w:rPr>
          <w:spacing w:val="-4"/>
        </w:rPr>
        <w:t> </w:t>
      </w:r>
      <w:r>
        <w:rPr/>
        <w:t>the</w:t>
      </w:r>
      <w:r>
        <w:rPr>
          <w:spacing w:val="-2"/>
        </w:rPr>
        <w:t> </w:t>
      </w:r>
      <w:r>
        <w:rPr/>
        <w:t>Development of</w:t>
      </w:r>
      <w:r>
        <w:rPr>
          <w:spacing w:val="-9"/>
        </w:rPr>
        <w:t> </w:t>
      </w:r>
      <w:r>
        <w:rPr/>
        <w:t>Functional</w:t>
      </w:r>
      <w:r>
        <w:rPr>
          <w:spacing w:val="-6"/>
        </w:rPr>
        <w:t> </w:t>
      </w:r>
      <w:r>
        <w:rPr/>
        <w:t>Materials. Her</w:t>
      </w:r>
      <w:r>
        <w:rPr>
          <w:spacing w:val="-1"/>
        </w:rPr>
        <w:t> </w:t>
      </w:r>
      <w:r>
        <w:rPr/>
        <w:t>expertise includes photochemistry, photocatalysis, photopolymerization, and 3D printing using</w:t>
      </w:r>
      <w:r>
        <w:rPr>
          <w:spacing w:val="10"/>
        </w:rPr>
        <w:t> </w:t>
      </w:r>
      <w:r>
        <w:rPr/>
        <w:t>organometallic</w:t>
      </w:r>
      <w:r>
        <w:rPr>
          <w:spacing w:val="12"/>
        </w:rPr>
        <w:t> </w:t>
      </w:r>
      <w:r>
        <w:rPr/>
        <w:t>complexes.</w:t>
      </w:r>
      <w:r>
        <w:rPr>
          <w:spacing w:val="14"/>
        </w:rPr>
        <w:t> </w:t>
      </w:r>
      <w:r>
        <w:rPr/>
        <w:t>She</w:t>
      </w:r>
      <w:r>
        <w:rPr>
          <w:spacing w:val="17"/>
        </w:rPr>
        <w:t> </w:t>
      </w:r>
      <w:r>
        <w:rPr/>
        <w:t>leads</w:t>
      </w:r>
      <w:r>
        <w:rPr>
          <w:spacing w:val="11"/>
        </w:rPr>
        <w:t> </w:t>
      </w:r>
      <w:r>
        <w:rPr/>
        <w:t>the</w:t>
      </w:r>
      <w:r>
        <w:rPr>
          <w:spacing w:val="11"/>
        </w:rPr>
        <w:t> </w:t>
      </w:r>
      <w:r>
        <w:rPr/>
        <w:t>LaCOM</w:t>
      </w:r>
      <w:r>
        <w:rPr>
          <w:spacing w:val="10"/>
        </w:rPr>
        <w:t> </w:t>
      </w:r>
      <w:r>
        <w:rPr/>
        <w:t>research</w:t>
      </w:r>
      <w:r>
        <w:rPr>
          <w:spacing w:val="8"/>
        </w:rPr>
        <w:t> </w:t>
      </w:r>
      <w:r>
        <w:rPr/>
        <w:t>group</w:t>
      </w:r>
      <w:r>
        <w:rPr>
          <w:spacing w:val="13"/>
        </w:rPr>
        <w:t> </w:t>
      </w:r>
      <w:r>
        <w:rPr/>
        <w:t>and</w:t>
      </w:r>
      <w:r>
        <w:rPr>
          <w:spacing w:val="13"/>
        </w:rPr>
        <w:t> </w:t>
      </w:r>
      <w:r>
        <w:rPr>
          <w:spacing w:val="-2"/>
        </w:rPr>
        <w:t>serves</w:t>
      </w:r>
    </w:p>
    <w:p>
      <w:pPr>
        <w:pStyle w:val="BodyText"/>
        <w:spacing w:line="237" w:lineRule="auto" w:before="2"/>
        <w:ind w:left="23" w:right="34"/>
      </w:pPr>
      <w:r>
        <w:rPr/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5803450</wp:posOffset>
            </wp:positionH>
            <wp:positionV relativeFrom="paragraph">
              <wp:posOffset>329744</wp:posOffset>
            </wp:positionV>
            <wp:extent cx="709054" cy="678542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9054" cy="6785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as vice-director of</w:t>
      </w:r>
      <w:r>
        <w:rPr>
          <w:spacing w:val="-2"/>
        </w:rPr>
        <w:t> </w:t>
      </w:r>
      <w:r>
        <w:rPr/>
        <w:t>the Photochemistry</w:t>
      </w:r>
      <w:r>
        <w:rPr>
          <w:spacing w:val="-4"/>
        </w:rPr>
        <w:t> </w:t>
      </w:r>
      <w:r>
        <w:rPr/>
        <w:t>Division of the Brazilian Chemical Society. Dr. Goi is an active member of national and international scientific networks.</w:t>
      </w:r>
    </w:p>
    <w:p>
      <w:pPr>
        <w:pStyle w:val="BodyText"/>
        <w:spacing w:before="2"/>
        <w:jc w:val="left"/>
      </w:pPr>
    </w:p>
    <w:p>
      <w:pPr>
        <w:spacing w:line="242" w:lineRule="auto" w:before="0"/>
        <w:ind w:left="23" w:right="1400" w:firstLine="0"/>
        <w:jc w:val="left"/>
        <w:rPr>
          <w:sz w:val="24"/>
        </w:rPr>
      </w:pPr>
      <w:r>
        <w:rPr>
          <w:b/>
          <w:sz w:val="24"/>
        </w:rPr>
        <w:t>Theme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Type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presentation:</w:t>
      </w:r>
      <w:r>
        <w:rPr>
          <w:b/>
          <w:spacing w:val="-3"/>
          <w:sz w:val="24"/>
        </w:rPr>
        <w:t> </w:t>
      </w:r>
      <w:r>
        <w:rPr>
          <w:sz w:val="24"/>
        </w:rPr>
        <w:t>photocatalysis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advanced</w:t>
      </w:r>
      <w:r>
        <w:rPr>
          <w:spacing w:val="-1"/>
          <w:sz w:val="24"/>
        </w:rPr>
        <w:t> </w:t>
      </w:r>
      <w:r>
        <w:rPr>
          <w:sz w:val="24"/>
        </w:rPr>
        <w:t>materials</w:t>
      </w:r>
      <w:r>
        <w:rPr>
          <w:spacing w:val="-3"/>
          <w:sz w:val="24"/>
        </w:rPr>
        <w:t> </w:t>
      </w:r>
      <w:r>
        <w:rPr>
          <w:sz w:val="24"/>
        </w:rPr>
        <w:t>– oral presentation</w:t>
      </w:r>
    </w:p>
    <w:p>
      <w:pPr>
        <w:spacing w:line="270" w:lineRule="exact" w:before="0"/>
        <w:ind w:left="23" w:right="0" w:firstLine="0"/>
        <w:jc w:val="left"/>
        <w:rPr>
          <w:sz w:val="24"/>
        </w:rPr>
      </w:pPr>
      <w:r>
        <w:rPr>
          <w:b/>
          <w:sz w:val="24"/>
        </w:rPr>
        <w:t>Mode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presentation: </w:t>
      </w:r>
      <w:r>
        <w:rPr>
          <w:sz w:val="24"/>
        </w:rPr>
        <w:t>In-</w:t>
      </w:r>
      <w:r>
        <w:rPr>
          <w:spacing w:val="-2"/>
          <w:sz w:val="24"/>
        </w:rPr>
        <w:t>Person</w:t>
      </w:r>
    </w:p>
    <w:sectPr>
      <w:type w:val="continuous"/>
      <w:pgSz w:w="11910" w:h="16840"/>
      <w:pgMar w:top="136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jc w:val="both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9"/>
      <w:ind w:left="4" w:right="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beatriz.goi@unesp.br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EN2018</dc:creator>
  <dcterms:created xsi:type="dcterms:W3CDTF">2025-08-21T06:34:14Z</dcterms:created>
  <dcterms:modified xsi:type="dcterms:W3CDTF">2025-08-21T06:34:14Z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2025-08-21T00:00:00Z</vt:filetime>
  </property>
  <property fmtid="{D5CDD505-2E9C-101B-9397-08002B2CF9AE}" pid="5" name="Producer">
    <vt:lpwstr>www.ilovepdf.com</vt:lpwstr>
  </property>
</Properties>
</file>