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AE5B" w14:textId="77777777" w:rsidR="004B7EE2" w:rsidRDefault="00000000">
      <w:pPr>
        <w:spacing w:before="60"/>
        <w:ind w:left="338"/>
        <w:rPr>
          <w:i/>
          <w:sz w:val="24"/>
        </w:rPr>
      </w:pPr>
      <w:r>
        <w:rPr>
          <w:i/>
          <w:sz w:val="24"/>
        </w:rPr>
        <w:t>Abstract</w:t>
      </w:r>
      <w:r>
        <w:rPr>
          <w:i/>
          <w:spacing w:val="-4"/>
          <w:sz w:val="24"/>
        </w:rPr>
        <w:t xml:space="preserve"> </w:t>
      </w:r>
      <w:r>
        <w:rPr>
          <w:i/>
          <w:sz w:val="24"/>
        </w:rPr>
        <w:t>to</w:t>
      </w:r>
      <w:r>
        <w:rPr>
          <w:i/>
          <w:spacing w:val="-1"/>
          <w:sz w:val="24"/>
        </w:rPr>
        <w:t xml:space="preserve"> </w:t>
      </w:r>
      <w:r>
        <w:rPr>
          <w:i/>
          <w:sz w:val="24"/>
        </w:rPr>
        <w:t>an</w:t>
      </w:r>
      <w:r>
        <w:rPr>
          <w:i/>
          <w:spacing w:val="-2"/>
          <w:sz w:val="24"/>
        </w:rPr>
        <w:t xml:space="preserve"> </w:t>
      </w:r>
      <w:r>
        <w:rPr>
          <w:i/>
          <w:sz w:val="24"/>
        </w:rPr>
        <w:t>oral</w:t>
      </w:r>
      <w:r>
        <w:rPr>
          <w:i/>
          <w:spacing w:val="-1"/>
          <w:sz w:val="24"/>
        </w:rPr>
        <w:t xml:space="preserve"> </w:t>
      </w:r>
      <w:r>
        <w:rPr>
          <w:i/>
          <w:sz w:val="24"/>
        </w:rPr>
        <w:t>presentation</w:t>
      </w:r>
      <w:r>
        <w:rPr>
          <w:i/>
          <w:spacing w:val="-2"/>
          <w:sz w:val="24"/>
        </w:rPr>
        <w:t xml:space="preserve"> </w:t>
      </w:r>
      <w:r>
        <w:rPr>
          <w:i/>
          <w:sz w:val="24"/>
        </w:rPr>
        <w:t>in</w:t>
      </w:r>
      <w:r>
        <w:rPr>
          <w:i/>
          <w:spacing w:val="-1"/>
          <w:sz w:val="24"/>
        </w:rPr>
        <w:t xml:space="preserve"> </w:t>
      </w:r>
      <w:r>
        <w:rPr>
          <w:i/>
          <w:sz w:val="24"/>
        </w:rPr>
        <w:t>ICMSN-2026</w:t>
      </w:r>
      <w:r>
        <w:rPr>
          <w:i/>
          <w:spacing w:val="-2"/>
          <w:sz w:val="24"/>
        </w:rPr>
        <w:t xml:space="preserve"> </w:t>
      </w:r>
      <w:r>
        <w:rPr>
          <w:i/>
          <w:sz w:val="24"/>
        </w:rPr>
        <w:t>Conference,</w:t>
      </w:r>
      <w:r>
        <w:rPr>
          <w:i/>
          <w:spacing w:val="-1"/>
          <w:sz w:val="24"/>
        </w:rPr>
        <w:t xml:space="preserve"> </w:t>
      </w:r>
      <w:r>
        <w:rPr>
          <w:i/>
          <w:spacing w:val="-2"/>
          <w:sz w:val="24"/>
        </w:rPr>
        <w:t>Barcelona</w:t>
      </w:r>
    </w:p>
    <w:p w14:paraId="2512C495" w14:textId="77777777" w:rsidR="004B7EE2" w:rsidRDefault="004B7EE2">
      <w:pPr>
        <w:pStyle w:val="BodyText"/>
        <w:rPr>
          <w:i/>
        </w:rPr>
      </w:pPr>
    </w:p>
    <w:p w14:paraId="5C0C54B4" w14:textId="77777777" w:rsidR="004B7EE2" w:rsidRDefault="004B7EE2">
      <w:pPr>
        <w:pStyle w:val="BodyText"/>
        <w:spacing w:before="71"/>
        <w:rPr>
          <w:i/>
        </w:rPr>
      </w:pPr>
    </w:p>
    <w:p w14:paraId="601A6FA8" w14:textId="77777777" w:rsidR="004B7EE2" w:rsidRDefault="00000000">
      <w:pPr>
        <w:pStyle w:val="Title"/>
        <w:spacing w:line="360" w:lineRule="auto"/>
      </w:pPr>
      <w:r>
        <w:t>Universal</w:t>
      </w:r>
      <w:r>
        <w:rPr>
          <w:spacing w:val="-5"/>
        </w:rPr>
        <w:t xml:space="preserve"> </w:t>
      </w:r>
      <w:r>
        <w:t>Description</w:t>
      </w:r>
      <w:r>
        <w:rPr>
          <w:spacing w:val="-5"/>
        </w:rPr>
        <w:t xml:space="preserve"> </w:t>
      </w:r>
      <w:r>
        <w:t>of</w:t>
      </w:r>
      <w:r>
        <w:rPr>
          <w:spacing w:val="-5"/>
        </w:rPr>
        <w:t xml:space="preserve"> </w:t>
      </w:r>
      <w:r>
        <w:t>the</w:t>
      </w:r>
      <w:r>
        <w:rPr>
          <w:spacing w:val="-6"/>
        </w:rPr>
        <w:t xml:space="preserve"> </w:t>
      </w:r>
      <w:r>
        <w:t>Indentation</w:t>
      </w:r>
      <w:r>
        <w:rPr>
          <w:spacing w:val="-8"/>
        </w:rPr>
        <w:t xml:space="preserve"> </w:t>
      </w:r>
      <w:r>
        <w:t>Size</w:t>
      </w:r>
      <w:r>
        <w:rPr>
          <w:spacing w:val="-5"/>
        </w:rPr>
        <w:t xml:space="preserve"> </w:t>
      </w:r>
      <w:r>
        <w:t>Effect from crystalline to amorphous structures</w:t>
      </w:r>
    </w:p>
    <w:p w14:paraId="713A59F1" w14:textId="77777777" w:rsidR="004B7EE2" w:rsidRDefault="004B7EE2">
      <w:pPr>
        <w:pStyle w:val="BodyText"/>
        <w:spacing w:before="160"/>
        <w:rPr>
          <w:b/>
          <w:sz w:val="28"/>
        </w:rPr>
      </w:pPr>
    </w:p>
    <w:p w14:paraId="6699718D" w14:textId="77777777" w:rsidR="004B7EE2" w:rsidRDefault="00000000">
      <w:pPr>
        <w:pStyle w:val="BodyText"/>
        <w:ind w:left="2110" w:right="2108"/>
        <w:jc w:val="center"/>
      </w:pPr>
      <w:r>
        <w:t>Nguyen</w:t>
      </w:r>
      <w:r>
        <w:rPr>
          <w:spacing w:val="-1"/>
        </w:rPr>
        <w:t xml:space="preserve"> </w:t>
      </w:r>
      <w:r>
        <w:t>Q.</w:t>
      </w:r>
      <w:r>
        <w:rPr>
          <w:spacing w:val="-1"/>
        </w:rPr>
        <w:t xml:space="preserve"> </w:t>
      </w:r>
      <w:r>
        <w:rPr>
          <w:spacing w:val="-2"/>
        </w:rPr>
        <w:t>Chinh</w:t>
      </w:r>
    </w:p>
    <w:p w14:paraId="27A629EE" w14:textId="77777777" w:rsidR="004B7EE2" w:rsidRDefault="00000000">
      <w:pPr>
        <w:spacing w:before="137" w:line="360" w:lineRule="auto"/>
        <w:ind w:left="2106" w:right="2108"/>
        <w:jc w:val="center"/>
        <w:rPr>
          <w:i/>
          <w:sz w:val="24"/>
        </w:rPr>
      </w:pPr>
      <w:r>
        <w:rPr>
          <w:i/>
          <w:sz w:val="24"/>
        </w:rPr>
        <w:t>Department</w:t>
      </w:r>
      <w:r>
        <w:rPr>
          <w:i/>
          <w:spacing w:val="-7"/>
          <w:sz w:val="24"/>
        </w:rPr>
        <w:t xml:space="preserve"> </w:t>
      </w:r>
      <w:r>
        <w:rPr>
          <w:i/>
          <w:sz w:val="24"/>
        </w:rPr>
        <w:t>of</w:t>
      </w:r>
      <w:r>
        <w:rPr>
          <w:i/>
          <w:spacing w:val="-7"/>
          <w:sz w:val="24"/>
        </w:rPr>
        <w:t xml:space="preserve"> </w:t>
      </w:r>
      <w:r>
        <w:rPr>
          <w:i/>
          <w:sz w:val="24"/>
        </w:rPr>
        <w:t>Materials</w:t>
      </w:r>
      <w:r>
        <w:rPr>
          <w:i/>
          <w:spacing w:val="-8"/>
          <w:sz w:val="24"/>
        </w:rPr>
        <w:t xml:space="preserve"> </w:t>
      </w:r>
      <w:r>
        <w:rPr>
          <w:i/>
          <w:sz w:val="24"/>
        </w:rPr>
        <w:t>Physics,</w:t>
      </w:r>
      <w:r>
        <w:rPr>
          <w:i/>
          <w:spacing w:val="-7"/>
          <w:sz w:val="24"/>
        </w:rPr>
        <w:t xml:space="preserve"> </w:t>
      </w:r>
      <w:r>
        <w:rPr>
          <w:i/>
          <w:sz w:val="24"/>
        </w:rPr>
        <w:t>Eötvös</w:t>
      </w:r>
      <w:r>
        <w:rPr>
          <w:i/>
          <w:spacing w:val="-8"/>
          <w:sz w:val="24"/>
        </w:rPr>
        <w:t xml:space="preserve"> </w:t>
      </w:r>
      <w:r>
        <w:rPr>
          <w:i/>
          <w:sz w:val="24"/>
        </w:rPr>
        <w:t>Loránd</w:t>
      </w:r>
      <w:r>
        <w:rPr>
          <w:i/>
          <w:spacing w:val="-7"/>
          <w:sz w:val="24"/>
        </w:rPr>
        <w:t xml:space="preserve"> </w:t>
      </w:r>
      <w:r>
        <w:rPr>
          <w:i/>
          <w:sz w:val="24"/>
        </w:rPr>
        <w:t xml:space="preserve">University, 1117 Budapest, Pázmány Péter </w:t>
      </w:r>
      <w:proofErr w:type="spellStart"/>
      <w:r>
        <w:rPr>
          <w:i/>
          <w:sz w:val="24"/>
        </w:rPr>
        <w:t>sétány</w:t>
      </w:r>
      <w:proofErr w:type="spellEnd"/>
      <w:r>
        <w:rPr>
          <w:i/>
          <w:sz w:val="24"/>
        </w:rPr>
        <w:t xml:space="preserve"> 1/A., Hungary. (Email: </w:t>
      </w:r>
      <w:hyperlink r:id="rId5">
        <w:r>
          <w:rPr>
            <w:i/>
            <w:sz w:val="24"/>
          </w:rPr>
          <w:t>chinh@metal.elte.hu,</w:t>
        </w:r>
      </w:hyperlink>
      <w:r>
        <w:rPr>
          <w:i/>
          <w:sz w:val="24"/>
        </w:rPr>
        <w:t xml:space="preserve"> Phone: +36-20-5886081)</w:t>
      </w:r>
    </w:p>
    <w:p w14:paraId="2CA36508" w14:textId="77777777" w:rsidR="004B7EE2" w:rsidRDefault="004B7EE2">
      <w:pPr>
        <w:pStyle w:val="BodyText"/>
        <w:spacing w:before="139"/>
        <w:rPr>
          <w:i/>
        </w:rPr>
      </w:pPr>
    </w:p>
    <w:p w14:paraId="1367A805" w14:textId="77777777" w:rsidR="004B7EE2" w:rsidRDefault="00000000">
      <w:pPr>
        <w:pStyle w:val="BodyText"/>
        <w:spacing w:line="360" w:lineRule="auto"/>
        <w:ind w:left="338" w:right="332" w:firstLine="719"/>
        <w:jc w:val="both"/>
      </w:pPr>
      <w:r>
        <w:rPr>
          <w:b/>
        </w:rPr>
        <w:t>ABSTRACT:</w:t>
      </w:r>
      <w:r>
        <w:rPr>
          <w:b/>
          <w:spacing w:val="-14"/>
        </w:rPr>
        <w:t xml:space="preserve"> </w:t>
      </w:r>
      <w:r>
        <w:t>Indentation</w:t>
      </w:r>
      <w:r>
        <w:rPr>
          <w:spacing w:val="-14"/>
        </w:rPr>
        <w:t xml:space="preserve"> </w:t>
      </w:r>
      <w:r>
        <w:t>Size</w:t>
      </w:r>
      <w:r>
        <w:rPr>
          <w:spacing w:val="-15"/>
        </w:rPr>
        <w:t xml:space="preserve"> </w:t>
      </w:r>
      <w:r>
        <w:t>Effect</w:t>
      </w:r>
      <w:r>
        <w:rPr>
          <w:spacing w:val="-14"/>
        </w:rPr>
        <w:t xml:space="preserve"> </w:t>
      </w:r>
      <w:r>
        <w:t>(ISE)</w:t>
      </w:r>
      <w:r>
        <w:rPr>
          <w:spacing w:val="-13"/>
        </w:rPr>
        <w:t xml:space="preserve"> </w:t>
      </w:r>
      <w:r>
        <w:t>is</w:t>
      </w:r>
      <w:r>
        <w:rPr>
          <w:spacing w:val="-13"/>
        </w:rPr>
        <w:t xml:space="preserve"> </w:t>
      </w:r>
      <w:r>
        <w:t>a</w:t>
      </w:r>
      <w:r>
        <w:rPr>
          <w:spacing w:val="-15"/>
        </w:rPr>
        <w:t xml:space="preserve"> </w:t>
      </w:r>
      <w:r>
        <w:t>well-known</w:t>
      </w:r>
      <w:r>
        <w:rPr>
          <w:spacing w:val="-15"/>
        </w:rPr>
        <w:t xml:space="preserve"> </w:t>
      </w:r>
      <w:r>
        <w:t>phenomenon,</w:t>
      </w:r>
      <w:r>
        <w:rPr>
          <w:spacing w:val="-15"/>
        </w:rPr>
        <w:t xml:space="preserve"> </w:t>
      </w:r>
      <w:r>
        <w:t>especially</w:t>
      </w:r>
      <w:r>
        <w:rPr>
          <w:spacing w:val="-14"/>
        </w:rPr>
        <w:t xml:space="preserve"> </w:t>
      </w:r>
      <w:r>
        <w:t>when working at small length scales. We show that this phenomenon is inherent to the indentation method, due to the strain gradient occurring during the measurement, regardless of the material under investigation. Despite the different underlying mechanisms, the ISE phenomenon can be described</w:t>
      </w:r>
      <w:r>
        <w:rPr>
          <w:spacing w:val="-3"/>
        </w:rPr>
        <w:t xml:space="preserve"> </w:t>
      </w:r>
      <w:r>
        <w:t>uniformly</w:t>
      </w:r>
      <w:r>
        <w:rPr>
          <w:spacing w:val="-3"/>
        </w:rPr>
        <w:t xml:space="preserve"> </w:t>
      </w:r>
      <w:r>
        <w:t>from</w:t>
      </w:r>
      <w:r>
        <w:rPr>
          <w:spacing w:val="-3"/>
        </w:rPr>
        <w:t xml:space="preserve"> </w:t>
      </w:r>
      <w:r>
        <w:t>crystalline</w:t>
      </w:r>
      <w:r>
        <w:rPr>
          <w:spacing w:val="-4"/>
        </w:rPr>
        <w:t xml:space="preserve"> </w:t>
      </w:r>
      <w:r>
        <w:t>to</w:t>
      </w:r>
      <w:r>
        <w:rPr>
          <w:spacing w:val="-3"/>
        </w:rPr>
        <w:t xml:space="preserve"> </w:t>
      </w:r>
      <w:r>
        <w:t>amorphous</w:t>
      </w:r>
      <w:r>
        <w:rPr>
          <w:spacing w:val="-4"/>
        </w:rPr>
        <w:t xml:space="preserve"> </w:t>
      </w:r>
      <w:r>
        <w:t>structured</w:t>
      </w:r>
      <w:r>
        <w:rPr>
          <w:spacing w:val="-3"/>
        </w:rPr>
        <w:t xml:space="preserve"> </w:t>
      </w:r>
      <w:r>
        <w:t>materials.</w:t>
      </w:r>
      <w:r>
        <w:rPr>
          <w:spacing w:val="-11"/>
        </w:rPr>
        <w:t xml:space="preserve"> </w:t>
      </w:r>
      <w:r>
        <w:t>However,</w:t>
      </w:r>
      <w:r>
        <w:rPr>
          <w:spacing w:val="-3"/>
        </w:rPr>
        <w:t xml:space="preserve"> </w:t>
      </w:r>
      <w:r>
        <w:t>the</w:t>
      </w:r>
      <w:r>
        <w:rPr>
          <w:spacing w:val="-5"/>
        </w:rPr>
        <w:t xml:space="preserve"> </w:t>
      </w:r>
      <w:r>
        <w:t>appearance of</w:t>
      </w:r>
      <w:r>
        <w:rPr>
          <w:spacing w:val="-7"/>
        </w:rPr>
        <w:t xml:space="preserve"> </w:t>
      </w:r>
      <w:r>
        <w:t>this</w:t>
      </w:r>
      <w:r>
        <w:rPr>
          <w:spacing w:val="-6"/>
        </w:rPr>
        <w:t xml:space="preserve"> </w:t>
      </w:r>
      <w:r>
        <w:t>phenomenon</w:t>
      </w:r>
      <w:r>
        <w:rPr>
          <w:spacing w:val="-6"/>
        </w:rPr>
        <w:t xml:space="preserve"> </w:t>
      </w:r>
      <w:r>
        <w:t>depends</w:t>
      </w:r>
      <w:r>
        <w:rPr>
          <w:spacing w:val="-6"/>
        </w:rPr>
        <w:t xml:space="preserve"> </w:t>
      </w:r>
      <w:r>
        <w:t>on</w:t>
      </w:r>
      <w:r>
        <w:rPr>
          <w:spacing w:val="-6"/>
        </w:rPr>
        <w:t xml:space="preserve"> </w:t>
      </w:r>
      <w:r>
        <w:t>whether</w:t>
      </w:r>
      <w:r>
        <w:rPr>
          <w:spacing w:val="-7"/>
        </w:rPr>
        <w:t xml:space="preserve"> </w:t>
      </w:r>
      <w:r>
        <w:t>the</w:t>
      </w:r>
      <w:r>
        <w:rPr>
          <w:spacing w:val="-6"/>
        </w:rPr>
        <w:t xml:space="preserve"> </w:t>
      </w:r>
      <w:r>
        <w:t>strain</w:t>
      </w:r>
      <w:r>
        <w:rPr>
          <w:spacing w:val="-8"/>
        </w:rPr>
        <w:t xml:space="preserve"> </w:t>
      </w:r>
      <w:r>
        <w:t>gradient</w:t>
      </w:r>
      <w:r>
        <w:rPr>
          <w:spacing w:val="-6"/>
        </w:rPr>
        <w:t xml:space="preserve"> </w:t>
      </w:r>
      <w:r>
        <w:t>has</w:t>
      </w:r>
      <w:r>
        <w:rPr>
          <w:spacing w:val="-6"/>
        </w:rPr>
        <w:t xml:space="preserve"> </w:t>
      </w:r>
      <w:r>
        <w:t>a</w:t>
      </w:r>
      <w:r>
        <w:rPr>
          <w:spacing w:val="-7"/>
        </w:rPr>
        <w:t xml:space="preserve"> </w:t>
      </w:r>
      <w:r>
        <w:t>long-term</w:t>
      </w:r>
      <w:r>
        <w:rPr>
          <w:spacing w:val="-5"/>
        </w:rPr>
        <w:t xml:space="preserve"> </w:t>
      </w:r>
      <w:r>
        <w:t>or</w:t>
      </w:r>
      <w:r>
        <w:rPr>
          <w:spacing w:val="-7"/>
        </w:rPr>
        <w:t xml:space="preserve"> </w:t>
      </w:r>
      <w:r>
        <w:t>short-term</w:t>
      </w:r>
      <w:r>
        <w:rPr>
          <w:spacing w:val="-5"/>
        </w:rPr>
        <w:t xml:space="preserve"> </w:t>
      </w:r>
      <w:r>
        <w:t>effect</w:t>
      </w:r>
      <w:r>
        <w:rPr>
          <w:spacing w:val="-5"/>
        </w:rPr>
        <w:t xml:space="preserve"> </w:t>
      </w:r>
      <w:r>
        <w:t>on the indentation process. We have demonstrated such effects through some typical examples. The unified description expresses the universal nature of the indentation size effect, making the interpretation</w:t>
      </w:r>
      <w:r>
        <w:rPr>
          <w:spacing w:val="-5"/>
        </w:rPr>
        <w:t xml:space="preserve"> </w:t>
      </w:r>
      <w:r>
        <w:t>of</w:t>
      </w:r>
      <w:r>
        <w:rPr>
          <w:spacing w:val="-4"/>
        </w:rPr>
        <w:t xml:space="preserve"> </w:t>
      </w:r>
      <w:r>
        <w:t>nanoindentation</w:t>
      </w:r>
      <w:r>
        <w:rPr>
          <w:spacing w:val="-5"/>
        </w:rPr>
        <w:t xml:space="preserve"> </w:t>
      </w:r>
      <w:r>
        <w:t>measurements,</w:t>
      </w:r>
      <w:r>
        <w:rPr>
          <w:spacing w:val="-6"/>
        </w:rPr>
        <w:t xml:space="preserve"> </w:t>
      </w:r>
      <w:r>
        <w:t>including</w:t>
      </w:r>
      <w:r>
        <w:rPr>
          <w:spacing w:val="-6"/>
        </w:rPr>
        <w:t xml:space="preserve"> </w:t>
      </w:r>
      <w:r>
        <w:t>also</w:t>
      </w:r>
      <w:r>
        <w:rPr>
          <w:spacing w:val="-5"/>
        </w:rPr>
        <w:t xml:space="preserve"> </w:t>
      </w:r>
      <w:r>
        <w:t>the</w:t>
      </w:r>
      <w:r>
        <w:rPr>
          <w:spacing w:val="-6"/>
        </w:rPr>
        <w:t xml:space="preserve"> </w:t>
      </w:r>
      <w:r>
        <w:t>absence</w:t>
      </w:r>
      <w:r>
        <w:rPr>
          <w:spacing w:val="-5"/>
        </w:rPr>
        <w:t xml:space="preserve"> </w:t>
      </w:r>
      <w:r>
        <w:t>of</w:t>
      </w:r>
      <w:r>
        <w:rPr>
          <w:spacing w:val="-7"/>
        </w:rPr>
        <w:t xml:space="preserve"> </w:t>
      </w:r>
      <w:r>
        <w:t>the</w:t>
      </w:r>
      <w:r>
        <w:rPr>
          <w:spacing w:val="-6"/>
        </w:rPr>
        <w:t xml:space="preserve"> </w:t>
      </w:r>
      <w:r>
        <w:t>indentation</w:t>
      </w:r>
      <w:r>
        <w:rPr>
          <w:spacing w:val="-6"/>
        </w:rPr>
        <w:t xml:space="preserve"> </w:t>
      </w:r>
      <w:r>
        <w:t>size effect, more understandable and correct.</w:t>
      </w:r>
    </w:p>
    <w:p w14:paraId="0AA57F91" w14:textId="77777777" w:rsidR="004B7EE2" w:rsidRDefault="00000000">
      <w:pPr>
        <w:pStyle w:val="BodyText"/>
        <w:spacing w:before="1" w:line="360" w:lineRule="auto"/>
        <w:ind w:left="338" w:right="333" w:firstLine="719"/>
        <w:jc w:val="both"/>
      </w:pPr>
      <w:r>
        <w:rPr>
          <w:b/>
        </w:rPr>
        <w:t xml:space="preserve">Keywords: </w:t>
      </w:r>
      <w:r>
        <w:t>indentation size effect; universal description; strain gradient (deformation inhomogeneity); grain boundary sliding; long-term; short-term effect.</w:t>
      </w:r>
    </w:p>
    <w:p w14:paraId="1C6780EC" w14:textId="77777777" w:rsidR="00166300" w:rsidRDefault="00166300" w:rsidP="00166300">
      <w:pPr>
        <w:pStyle w:val="BodyText"/>
        <w:spacing w:before="1" w:line="360" w:lineRule="auto"/>
        <w:ind w:right="333"/>
        <w:jc w:val="both"/>
      </w:pPr>
    </w:p>
    <w:p w14:paraId="5BBD71EA" w14:textId="77777777" w:rsidR="00166300" w:rsidRPr="00510E8B" w:rsidRDefault="00166300" w:rsidP="00166300">
      <w:pPr>
        <w:spacing w:line="360" w:lineRule="auto"/>
        <w:jc w:val="both"/>
        <w:rPr>
          <w:sz w:val="24"/>
          <w:szCs w:val="24"/>
        </w:rPr>
      </w:pPr>
      <w:r w:rsidRPr="00510E8B">
        <w:rPr>
          <w:b/>
          <w:sz w:val="24"/>
          <w:szCs w:val="24"/>
        </w:rPr>
        <w:t>BIOGRAPHY:</w:t>
      </w:r>
      <w:r w:rsidRPr="00510E8B">
        <w:rPr>
          <w:sz w:val="24"/>
          <w:szCs w:val="24"/>
        </w:rPr>
        <w:t xml:space="preserve"> </w:t>
      </w:r>
      <w:r>
        <w:rPr>
          <w:rStyle w:val="tlid-translation"/>
          <w:sz w:val="24"/>
          <w:szCs w:val="24"/>
          <w:lang w:val="en"/>
        </w:rPr>
        <w:t xml:space="preserve">Prof. Nguyen Quang </w:t>
      </w:r>
      <w:r w:rsidRPr="00B7286C">
        <w:rPr>
          <w:rStyle w:val="tlid-translation"/>
          <w:sz w:val="24"/>
          <w:szCs w:val="24"/>
          <w:lang w:val="en"/>
        </w:rPr>
        <w:t xml:space="preserve">Chinh, </w:t>
      </w:r>
      <w:r>
        <w:rPr>
          <w:rStyle w:val="rynqvb"/>
          <w:sz w:val="24"/>
          <w:szCs w:val="24"/>
          <w:lang w:val="en"/>
        </w:rPr>
        <w:t>Doctor of S</w:t>
      </w:r>
      <w:r w:rsidRPr="00B7286C">
        <w:rPr>
          <w:rStyle w:val="rynqvb"/>
          <w:sz w:val="24"/>
          <w:szCs w:val="24"/>
          <w:lang w:val="en"/>
        </w:rPr>
        <w:t>cience (DSc) from the Hungarian Academy of Sciences (HAS),</w:t>
      </w:r>
      <w:r w:rsidRPr="00434563">
        <w:rPr>
          <w:rStyle w:val="tlid-translation"/>
          <w:sz w:val="24"/>
          <w:szCs w:val="24"/>
          <w:lang w:val="en"/>
        </w:rPr>
        <w:t xml:space="preserve"> graduated in Physics from Eötvös Loránd University</w:t>
      </w:r>
      <w:r>
        <w:rPr>
          <w:rStyle w:val="tlid-translation"/>
          <w:sz w:val="24"/>
          <w:szCs w:val="24"/>
          <w:lang w:val="en"/>
        </w:rPr>
        <w:t xml:space="preserve"> (ELTE)</w:t>
      </w:r>
      <w:r w:rsidRPr="00434563">
        <w:rPr>
          <w:rStyle w:val="tlid-translation"/>
          <w:sz w:val="24"/>
          <w:szCs w:val="24"/>
          <w:lang w:val="en"/>
        </w:rPr>
        <w:t xml:space="preserve"> in 1985. Since </w:t>
      </w:r>
      <w:proofErr w:type="gramStart"/>
      <w:r w:rsidRPr="00434563">
        <w:rPr>
          <w:rStyle w:val="tlid-translation"/>
          <w:sz w:val="24"/>
          <w:szCs w:val="24"/>
          <w:lang w:val="en"/>
        </w:rPr>
        <w:t>then</w:t>
      </w:r>
      <w:proofErr w:type="gramEnd"/>
      <w:r w:rsidRPr="00434563">
        <w:rPr>
          <w:rStyle w:val="tlid-translation"/>
          <w:sz w:val="24"/>
          <w:szCs w:val="24"/>
          <w:lang w:val="en"/>
        </w:rPr>
        <w:t xml:space="preserve"> he has been working in various fields of materials science.</w:t>
      </w:r>
      <w:r>
        <w:rPr>
          <w:rStyle w:val="tlid-translation"/>
          <w:sz w:val="24"/>
          <w:szCs w:val="24"/>
          <w:lang w:val="en"/>
        </w:rPr>
        <w:t xml:space="preserve"> His recent main research topics are: </w:t>
      </w:r>
      <w:proofErr w:type="spellStart"/>
      <w:r>
        <w:rPr>
          <w:sz w:val="24"/>
          <w:szCs w:val="24"/>
        </w:rPr>
        <w:t>i</w:t>
      </w:r>
      <w:proofErr w:type="spellEnd"/>
      <w:r>
        <w:rPr>
          <w:sz w:val="24"/>
          <w:szCs w:val="24"/>
        </w:rPr>
        <w:t xml:space="preserve">) </w:t>
      </w:r>
      <w:r w:rsidRPr="001521B2">
        <w:rPr>
          <w:color w:val="00000A"/>
          <w:sz w:val="24"/>
          <w:szCs w:val="24"/>
        </w:rPr>
        <w:t xml:space="preserve">Plastic behavior and strengthening mechanisms of </w:t>
      </w:r>
      <w:r>
        <w:rPr>
          <w:color w:val="00000A"/>
          <w:sz w:val="24"/>
          <w:szCs w:val="24"/>
        </w:rPr>
        <w:t>metals and</w:t>
      </w:r>
      <w:r w:rsidRPr="001521B2">
        <w:rPr>
          <w:color w:val="00000A"/>
          <w:sz w:val="24"/>
          <w:szCs w:val="24"/>
        </w:rPr>
        <w:t xml:space="preserve"> alloys, </w:t>
      </w:r>
      <w:r>
        <w:rPr>
          <w:color w:val="00000A"/>
          <w:sz w:val="24"/>
          <w:szCs w:val="24"/>
        </w:rPr>
        <w:t xml:space="preserve">ii) </w:t>
      </w:r>
      <w:r w:rsidRPr="001521B2">
        <w:rPr>
          <w:color w:val="00000A"/>
          <w:sz w:val="24"/>
          <w:szCs w:val="24"/>
        </w:rPr>
        <w:t>Microstructural and mechanical characteristics of</w:t>
      </w:r>
      <w:r>
        <w:rPr>
          <w:color w:val="00000A"/>
          <w:sz w:val="24"/>
          <w:szCs w:val="24"/>
        </w:rPr>
        <w:t xml:space="preserve"> ultrafine-grained and</w:t>
      </w:r>
      <w:r w:rsidRPr="001521B2">
        <w:rPr>
          <w:color w:val="00000A"/>
          <w:sz w:val="24"/>
          <w:szCs w:val="24"/>
        </w:rPr>
        <w:t xml:space="preserve"> nanocrystalline materials, </w:t>
      </w:r>
      <w:r>
        <w:rPr>
          <w:color w:val="00000A"/>
          <w:sz w:val="24"/>
          <w:szCs w:val="24"/>
        </w:rPr>
        <w:t xml:space="preserve">iii) </w:t>
      </w:r>
      <w:r w:rsidRPr="001521B2">
        <w:rPr>
          <w:color w:val="00000A"/>
          <w:sz w:val="24"/>
          <w:szCs w:val="24"/>
        </w:rPr>
        <w:t>Development of the depth sensing indentation method</w:t>
      </w:r>
      <w:r>
        <w:rPr>
          <w:color w:val="00000A"/>
          <w:sz w:val="24"/>
          <w:szCs w:val="24"/>
        </w:rPr>
        <w:t xml:space="preserve">. </w:t>
      </w:r>
      <w:proofErr w:type="spellStart"/>
      <w:r w:rsidRPr="001D7AD5">
        <w:rPr>
          <w:color w:val="00000A"/>
          <w:sz w:val="24"/>
          <w:szCs w:val="24"/>
        </w:rPr>
        <w:t>H</w:t>
      </w:r>
      <w:r w:rsidRPr="001D7AD5">
        <w:rPr>
          <w:rStyle w:val="hwtze"/>
          <w:sz w:val="24"/>
          <w:szCs w:val="24"/>
          <w:lang w:val="en"/>
        </w:rPr>
        <w:t>e</w:t>
      </w:r>
      <w:proofErr w:type="spellEnd"/>
      <w:r w:rsidRPr="001D7AD5">
        <w:rPr>
          <w:rStyle w:val="hwtze"/>
          <w:sz w:val="24"/>
          <w:szCs w:val="24"/>
          <w:lang w:val="en"/>
        </w:rPr>
        <w:t xml:space="preserve"> participated in many international collaborations</w:t>
      </w:r>
      <w:r w:rsidRPr="001D7AD5">
        <w:rPr>
          <w:rStyle w:val="tlid-translation"/>
          <w:sz w:val="24"/>
          <w:szCs w:val="24"/>
          <w:lang w:val="en"/>
        </w:rPr>
        <w:t>.</w:t>
      </w:r>
      <w:r>
        <w:rPr>
          <w:rStyle w:val="tlid-translation"/>
          <w:sz w:val="24"/>
          <w:szCs w:val="24"/>
          <w:lang w:val="en"/>
        </w:rPr>
        <w:t xml:space="preserve"> Currently he is the leader of the Hungarian group in </w:t>
      </w:r>
      <w:r w:rsidRPr="003F018D">
        <w:rPr>
          <w:sz w:val="24"/>
          <w:szCs w:val="24"/>
        </w:rPr>
        <w:t xml:space="preserve">a joint project with </w:t>
      </w:r>
      <w:r>
        <w:rPr>
          <w:sz w:val="24"/>
          <w:szCs w:val="24"/>
        </w:rPr>
        <w:t>Russian researchers entitled “</w:t>
      </w:r>
      <w:r w:rsidRPr="001D7AD5">
        <w:rPr>
          <w:i/>
          <w:sz w:val="24"/>
          <w:szCs w:val="24"/>
        </w:rPr>
        <w:t xml:space="preserve">Study of the physical nature and development of ultra-low-temperature </w:t>
      </w:r>
      <w:proofErr w:type="spellStart"/>
      <w:r w:rsidRPr="001D7AD5">
        <w:rPr>
          <w:i/>
          <w:sz w:val="24"/>
          <w:szCs w:val="24"/>
        </w:rPr>
        <w:t>superplasticity</w:t>
      </w:r>
      <w:proofErr w:type="spellEnd"/>
      <w:r w:rsidRPr="001D7AD5">
        <w:rPr>
          <w:i/>
          <w:sz w:val="24"/>
          <w:szCs w:val="24"/>
        </w:rPr>
        <w:t xml:space="preserve"> in</w:t>
      </w:r>
      <w:r>
        <w:rPr>
          <w:i/>
          <w:sz w:val="24"/>
          <w:szCs w:val="24"/>
        </w:rPr>
        <w:t xml:space="preserve"> ultrafine-grained</w:t>
      </w:r>
      <w:r w:rsidRPr="001D7AD5">
        <w:rPr>
          <w:i/>
          <w:sz w:val="24"/>
          <w:szCs w:val="24"/>
        </w:rPr>
        <w:t xml:space="preserve"> Al alloys for innovative applications</w:t>
      </w:r>
      <w:r>
        <w:rPr>
          <w:sz w:val="24"/>
          <w:szCs w:val="24"/>
        </w:rPr>
        <w:t>”</w:t>
      </w:r>
      <w:r w:rsidRPr="003F018D">
        <w:rPr>
          <w:sz w:val="24"/>
          <w:szCs w:val="24"/>
        </w:rPr>
        <w:t>.</w:t>
      </w:r>
    </w:p>
    <w:p w14:paraId="561F276A" w14:textId="77777777" w:rsidR="00166300" w:rsidRDefault="00166300" w:rsidP="00166300">
      <w:pPr>
        <w:pStyle w:val="BodyText"/>
        <w:spacing w:before="1" w:line="360" w:lineRule="auto"/>
        <w:ind w:right="333"/>
        <w:jc w:val="both"/>
      </w:pPr>
    </w:p>
    <w:sectPr w:rsidR="00166300">
      <w:type w:val="continuous"/>
      <w:pgSz w:w="12240" w:h="15840"/>
      <w:pgMar w:top="13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7EE2"/>
    <w:rsid w:val="00166300"/>
    <w:rsid w:val="004B7EE2"/>
    <w:rsid w:val="00D63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17F5"/>
  <w15:docId w15:val="{21BF0C1D-DDAC-4BC8-B67A-7E4DD938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958" w:right="1956"/>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rynqvb">
    <w:name w:val="rynqvb"/>
    <w:basedOn w:val="DefaultParagraphFont"/>
    <w:rsid w:val="00166300"/>
  </w:style>
  <w:style w:type="character" w:customStyle="1" w:styleId="hwtze">
    <w:name w:val="hwtze"/>
    <w:basedOn w:val="DefaultParagraphFont"/>
    <w:rsid w:val="00166300"/>
  </w:style>
  <w:style w:type="character" w:customStyle="1" w:styleId="tlid-translation">
    <w:name w:val="tlid-translation"/>
    <w:basedOn w:val="DefaultParagraphFont"/>
    <w:rsid w:val="00166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chinh@metal.elte.h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BDE8-2043-4770-8307-F7545EE7B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NQC</dc:creator>
  <cp:lastModifiedBy>ICMSN 2026 at Barcelona</cp:lastModifiedBy>
  <cp:revision>2</cp:revision>
  <dcterms:created xsi:type="dcterms:W3CDTF">2026-02-12T12:23:00Z</dcterms:created>
  <dcterms:modified xsi:type="dcterms:W3CDTF">2026-02-12T12:24:00Z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a Microsoft 365-höz</vt:lpwstr>
  </property>
  <property fmtid="{D5CDD505-2E9C-101B-9397-08002B2CF9AE}" pid="4" name="LastSaved">
    <vt:filetime>2026-02-12T00:00:00Z</vt:filetime>
  </property>
  <property fmtid="{D5CDD505-2E9C-101B-9397-08002B2CF9AE}" pid="5" name="Producer">
    <vt:lpwstr>Microsoft® Word a Microsoft 365-höz</vt:lpwstr>
  </property>
</Properties>
</file>