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sz w:val="22"/>
          <w:szCs w:val="22"/>
        </w:rPr>
        <w:t xml:space="preserve">HCA Healthcare India</w:t>
      </w:r>
    </w:p>
    <w:p>
      <w:pPr>
        <w:spacing w:after="80"/>
      </w:pPr>
    </w:p>
    <w:p>
      <w:pPr>
        <w:spacing w:after="0"/>
      </w:pPr>
      <w:r>
        <w:rPr>
          <w:rFonts w:ascii="Calibri" w:cs="Calibri" w:eastAsia="Calibri" w:hAnsi="Calibri"/>
          <w:b/>
          <w:bCs/>
          <w:sz w:val="22"/>
          <w:szCs w:val="22"/>
        </w:rPr>
        <w:t xml:space="preserve">Cardington Application Overview</w:t>
      </w:r>
    </w:p>
    <w:p>
      <w:pPr>
        <w:spacing w:after="80"/>
      </w:pPr>
    </w:p>
    <w:p>
      <w:pPr>
        <w:spacing w:after="0"/>
      </w:pPr>
      <w:r>
        <w:rPr>
          <w:rFonts w:ascii="Calibri" w:cs="Calibri" w:eastAsia="Calibri" w:hAnsi="Calibri"/>
          <w:sz w:val="22"/>
          <w:szCs w:val="22"/>
        </w:rPr>
        <w:t xml:space="preserve">Operating Procedure (SOP) Version 1.0</w:t>
      </w:r>
    </w:p>
    <w:p>
      <w:pPr>
        <w:spacing w:after="80"/>
      </w:pPr>
    </w:p>
    <w:p>
      <w:pPr>
        <w:spacing w:after="0"/>
      </w:pPr>
      <w:r>
        <w:rPr>
          <w:rFonts w:ascii="Calibri" w:cs="Calibri" w:eastAsia="Calibri" w:hAnsi="Calibri"/>
          <w:sz w:val="22"/>
          <w:szCs w:val="22"/>
        </w:rPr>
        <w:t xml:space="preserve">19-06-2026</w:t>
      </w:r>
    </w:p>
    <w:p>
      <w:pPr>
        <w:jc w:val="right"/>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p>
    <w:p>
      <w:pPr>
        <w:spacing w:after="80"/>
      </w:pPr>
    </w:p>
    <w:p>
      <w:pPr>
        <w:spacing w:after="80"/>
      </w:pPr>
    </w:p>
    <w:p>
      <w:pPr>
        <w:spacing w:after="80"/>
      </w:pPr>
    </w:p>
    <w:p>
      <w:pPr>
        <w:spacing w:after="200" w:before="320"/>
      </w:pPr>
      <w:r>
        <w:rPr>
          <w:rFonts w:ascii="Calibri" w:cs="Calibri" w:eastAsia="Calibri" w:hAnsi="Calibri"/>
          <w:color w:val="2E75B6"/>
          <w:sz w:val="24"/>
          <w:szCs w:val="24"/>
        </w:rPr>
        <w:t xml:space="preserve">Contents</w:t>
      </w:r>
    </w:p>
    <w:p>
      <w:pPr>
        <w:tabs>
          <w:tab w:val="right" w:pos="9026" w:leader="dot"/>
        </w:tabs>
        <w:spacing w:after="80"/>
      </w:pPr>
      <w:r>
        <w:rPr>
          <w:rFonts w:ascii="Calibri" w:cs="Calibri" w:eastAsia="Calibri" w:hAnsi="Calibri"/>
          <w:b/>
          <w:bCs/>
          <w:sz w:val="22"/>
          <w:szCs w:val="22"/>
        </w:rPr>
        <w:t xml:space="preserve">Version Control:	2</w:t>
      </w:r>
    </w:p>
    <w:p>
      <w:pPr>
        <w:tabs>
          <w:tab w:val="right" w:pos="9026" w:leader="dot"/>
        </w:tabs>
        <w:spacing w:after="80"/>
      </w:pPr>
      <w:r>
        <w:rPr>
          <w:rFonts w:ascii="Calibri" w:cs="Calibri" w:eastAsia="Calibri" w:hAnsi="Calibri"/>
          <w:b/>
          <w:bCs/>
          <w:sz w:val="22"/>
          <w:szCs w:val="22"/>
        </w:rPr>
        <w:t xml:space="preserve">1. Purpose and Objective	3</w:t>
      </w:r>
    </w:p>
    <w:p>
      <w:pPr>
        <w:tabs>
          <w:tab w:val="right" w:pos="9026" w:leader="dot"/>
        </w:tabs>
        <w:spacing w:after="80"/>
      </w:pPr>
      <w:r>
        <w:rPr>
          <w:rFonts w:ascii="Calibri" w:cs="Calibri" w:eastAsia="Calibri" w:hAnsi="Calibri"/>
          <w:b/>
          <w:bCs/>
          <w:sz w:val="22"/>
          <w:szCs w:val="22"/>
        </w:rPr>
        <w:t xml:space="preserve">2. Application / Product Overview	3</w:t>
      </w:r>
    </w:p>
    <w:p>
      <w:pPr>
        <w:tabs>
          <w:tab w:val="right" w:pos="9026" w:leader="dot"/>
        </w:tabs>
        <w:spacing w:after="80"/>
      </w:pPr>
      <w:r>
        <w:rPr>
          <w:rFonts w:ascii="Calibri" w:cs="Calibri" w:eastAsia="Calibri" w:hAnsi="Calibri"/>
          <w:b/>
          <w:bCs/>
          <w:sz w:val="22"/>
          <w:szCs w:val="22"/>
        </w:rPr>
        <w:t xml:space="preserve">2.2 Business Process:	3</w:t>
      </w:r>
    </w:p>
    <w:p>
      <w:pPr>
        <w:tabs>
          <w:tab w:val="right" w:pos="9026" w:leader="dot"/>
        </w:tabs>
        <w:spacing w:after="80"/>
      </w:pPr>
      <w:r>
        <w:rPr>
          <w:rFonts w:ascii="Calibri" w:cs="Calibri" w:eastAsia="Calibri" w:hAnsi="Calibri"/>
          <w:b/>
          <w:bCs/>
          <w:sz w:val="22"/>
          <w:szCs w:val="22"/>
        </w:rPr>
        <w:t xml:space="preserve">2.3 Functional Details:	3</w:t>
      </w:r>
    </w:p>
    <w:p>
      <w:pPr>
        <w:tabs>
          <w:tab w:val="right" w:pos="9026" w:leader="dot"/>
        </w:tabs>
        <w:spacing w:after="80"/>
      </w:pPr>
      <w:r>
        <w:rPr>
          <w:rFonts w:ascii="Calibri" w:cs="Calibri" w:eastAsia="Calibri" w:hAnsi="Calibri"/>
          <w:b/>
          <w:bCs/>
          <w:sz w:val="22"/>
          <w:szCs w:val="22"/>
        </w:rPr>
        <w:t xml:space="preserve">3. Technical Overview	3</w:t>
      </w:r>
    </w:p>
    <w:p>
      <w:pPr>
        <w:tabs>
          <w:tab w:val="right" w:pos="9026" w:leader="dot"/>
        </w:tabs>
        <w:spacing w:after="80"/>
      </w:pPr>
      <w:r>
        <w:rPr>
          <w:rFonts w:ascii="Calibri" w:cs="Calibri" w:eastAsia="Calibri" w:hAnsi="Calibri"/>
          <w:b/>
          <w:bCs/>
          <w:sz w:val="22"/>
          <w:szCs w:val="22"/>
        </w:rPr>
        <w:t xml:space="preserve">3.1 Application Architecture:	3</w:t>
      </w:r>
    </w:p>
    <w:p>
      <w:pPr>
        <w:tabs>
          <w:tab w:val="right" w:pos="9026" w:leader="dot"/>
        </w:tabs>
        <w:spacing w:after="80"/>
      </w:pPr>
      <w:r>
        <w:rPr>
          <w:rFonts w:ascii="Calibri" w:cs="Calibri" w:eastAsia="Calibri" w:hAnsi="Calibri"/>
          <w:b/>
          <w:bCs/>
          <w:sz w:val="22"/>
          <w:szCs w:val="22"/>
        </w:rPr>
        <w:t xml:space="preserve">3.2 Infrastructure:	3</w:t>
      </w:r>
    </w:p>
    <w:p>
      <w:pPr>
        <w:tabs>
          <w:tab w:val="right" w:pos="9026" w:leader="dot"/>
        </w:tabs>
        <w:spacing w:after="80"/>
      </w:pPr>
      <w:r>
        <w:rPr>
          <w:rFonts w:ascii="Calibri" w:cs="Calibri" w:eastAsia="Calibri" w:hAnsi="Calibri"/>
          <w:b/>
          <w:bCs/>
          <w:sz w:val="22"/>
          <w:szCs w:val="22"/>
        </w:rPr>
        <w:t xml:space="preserve">3.3 Service Management:	4</w:t>
      </w:r>
    </w:p>
    <w:p>
      <w:pPr>
        <w:tabs>
          <w:tab w:val="right" w:pos="9026" w:leader="dot"/>
        </w:tabs>
        <w:spacing w:after="80"/>
      </w:pPr>
      <w:r>
        <w:rPr>
          <w:rFonts w:ascii="Calibri" w:cs="Calibri" w:eastAsia="Calibri" w:hAnsi="Calibri"/>
          <w:b/>
          <w:bCs/>
          <w:sz w:val="22"/>
          <w:szCs w:val="22"/>
        </w:rPr>
        <w:t xml:space="preserve">3.4 CI/CD &amp; Deployment:	4</w:t>
      </w:r>
    </w:p>
    <w:p>
      <w:pPr>
        <w:tabs>
          <w:tab w:val="right" w:pos="9026" w:leader="dot"/>
        </w:tabs>
        <w:spacing w:after="80"/>
      </w:pPr>
      <w:r>
        <w:rPr>
          <w:rFonts w:ascii="Calibri" w:cs="Calibri" w:eastAsia="Calibri" w:hAnsi="Calibri"/>
          <w:b/>
          <w:bCs/>
          <w:sz w:val="22"/>
          <w:szCs w:val="22"/>
        </w:rPr>
        <w:t xml:space="preserve">3.5 Logging &amp; Diagnostics:	4</w:t>
      </w:r>
    </w:p>
    <w:p>
      <w:pPr>
        <w:tabs>
          <w:tab w:val="right" w:pos="9026" w:leader="dot"/>
        </w:tabs>
        <w:spacing w:after="80"/>
      </w:pPr>
      <w:r>
        <w:rPr>
          <w:rFonts w:ascii="Calibri" w:cs="Calibri" w:eastAsia="Calibri" w:hAnsi="Calibri"/>
          <w:b/>
          <w:bCs/>
          <w:sz w:val="22"/>
          <w:szCs w:val="22"/>
        </w:rPr>
        <w:t xml:space="preserve">4. Performance, Security &amp; Scalability:	5</w:t>
      </w:r>
    </w:p>
    <w:p>
      <w:pPr>
        <w:tabs>
          <w:tab w:val="right" w:pos="9026" w:leader="dot"/>
        </w:tabs>
        <w:spacing w:after="80"/>
      </w:pPr>
      <w:r>
        <w:rPr>
          <w:rFonts w:ascii="Calibri" w:cs="Calibri" w:eastAsia="Calibri" w:hAnsi="Calibri"/>
          <w:b/>
          <w:bCs/>
          <w:sz w:val="22"/>
          <w:szCs w:val="22"/>
        </w:rPr>
        <w:t xml:space="preserve">5. Source Code Walkthrough:	5</w:t>
      </w:r>
    </w:p>
    <w:p>
      <w:pPr>
        <w:tabs>
          <w:tab w:val="right" w:pos="9026" w:leader="dot"/>
        </w:tabs>
        <w:spacing w:after="80"/>
      </w:pPr>
      <w:r>
        <w:rPr>
          <w:rFonts w:ascii="Calibri" w:cs="Calibri" w:eastAsia="Calibri" w:hAnsi="Calibri"/>
          <w:b/>
          <w:bCs/>
          <w:sz w:val="22"/>
          <w:szCs w:val="22"/>
        </w:rPr>
        <w:t xml:space="preserve">6. Operations and Maintenance:	5</w:t>
      </w:r>
    </w:p>
    <w:p>
      <w:pPr>
        <w:tabs>
          <w:tab w:val="right" w:pos="9026" w:leader="dot"/>
        </w:tabs>
        <w:spacing w:after="80"/>
      </w:pPr>
      <w:r>
        <w:rPr>
          <w:rFonts w:ascii="Calibri" w:cs="Calibri" w:eastAsia="Calibri" w:hAnsi="Calibri"/>
          <w:b/>
          <w:bCs/>
          <w:sz w:val="22"/>
          <w:szCs w:val="22"/>
        </w:rPr>
        <w:t xml:space="preserve">7. Key POCs	6</w:t>
      </w:r>
    </w:p>
    <w:p>
      <w:pPr>
        <w:pageBreakBefore/>
      </w:pPr>
    </w:p>
    <w:p>
      <w:pPr>
        <w:spacing w:after="100" w:before="160"/>
      </w:pPr>
      <w:r>
        <w:rPr>
          <w:rFonts w:ascii="Calibri" w:cs="Calibri" w:eastAsia="Calibri" w:hAnsi="Calibri"/>
          <w:b/>
          <w:bCs/>
          <w:color w:val="000000"/>
          <w:sz w:val="22"/>
          <w:szCs w:val="22"/>
        </w:rPr>
        <w:t xml:space="preserve">Version Control: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2360"/>
        <w:gridCol w:w="1600"/>
        <w:gridCol w:w="1300"/>
      </w:tblGrid>
      <w:tr>
        <w:tc>
          <w:tcPr>
            <w:tcW w:type="dxa" w:w="15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Version Number (V1.0, etc.)</w:t>
            </w:r>
          </w:p>
        </w:tc>
        <w:tc>
          <w:tcPr>
            <w:tcW w:type="dxa" w:w="13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DRAFT DATE</w:t>
            </w:r>
          </w:p>
        </w:tc>
        <w:tc>
          <w:tcPr>
            <w:tcW w:type="dxa" w:w="13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APPROVAL DATE</w:t>
            </w:r>
          </w:p>
        </w:tc>
        <w:tc>
          <w:tcPr>
            <w:tcW w:type="dxa" w:w="236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CHANGE DESCRIPTION</w:t>
            </w:r>
          </w:p>
        </w:tc>
        <w:tc>
          <w:tcPr>
            <w:tcW w:type="dxa" w:w="16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DOCUMENT PREPARER (HCA GCN)</w:t>
            </w:r>
          </w:p>
        </w:tc>
        <w:tc>
          <w:tcPr>
            <w:tcW w:type="dxa" w:w="13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DOCUMENT OWNER (HCA US)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19-06-2026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Initial draft</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Pavan Kalyan</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w:r>
          </w:p>
        </w:tc>
      </w:tr>
    </w:tbl>
    <w:p>
      <w:pPr>
        <w:pageBreakBefore/>
      </w:pPr>
    </w:p>
    <w:p>
      <w:pPr>
        <w:pStyle w:val="Heading1"/>
        <w:spacing w:after="160" w:before="280"/>
      </w:pPr>
      <w:r>
        <w:rPr>
          <w:rFonts w:ascii="Calibri" w:cs="Calibri" w:eastAsia="Calibri" w:hAnsi="Calibri"/>
          <w:b/>
          <w:bCs/>
          <w:color w:val="000000"/>
          <w:sz w:val="24"/>
          <w:szCs w:val="24"/>
        </w:rPr>
        <w:t xml:space="preserve">1.	Purpose and Objective</w:t>
      </w:r>
    </w:p>
    <w:p>
      <w:pPr>
        <w:spacing w:after="160"/>
      </w:pPr>
      <w:r>
        <w:rPr>
          <w:rFonts w:ascii="Calibri" w:cs="Calibri" w:eastAsia="Calibri" w:hAnsi="Calibri"/>
          <w:sz w:val="22"/>
          <w:szCs w:val="22"/>
        </w:rPr>
        <w:t xml:space="preserve">The purpose of this SOP is to establish standardized operational and support procedures for the Cardington application, ensuring consistent availability, accurate data synchronization, and reliable support for HR data flowing between the GHR portal and the Lawson ERP (S3) system.</w:t>
      </w:r>
    </w:p>
    <w:p>
      <w:pPr>
        <w:pStyle w:val="Heading1"/>
        <w:spacing w:after="160" w:before="280"/>
      </w:pPr>
      <w:r>
        <w:rPr>
          <w:rFonts w:ascii="Calibri" w:cs="Calibri" w:eastAsia="Calibri" w:hAnsi="Calibri"/>
          <w:b/>
          <w:bCs/>
          <w:color w:val="000000"/>
          <w:sz w:val="24"/>
          <w:szCs w:val="24"/>
        </w:rPr>
        <w:t xml:space="preserve">2.	Application / Product Overview</w:t>
      </w:r>
    </w:p>
    <w:p>
      <w:pPr>
        <w:pStyle w:val="ListParagraph"/>
        <w:numPr>
          <w:ilvl w:val="0"/>
          <w:numId w:val="2"/>
        </w:numPr>
        <w:spacing w:after="100"/>
      </w:pPr>
      <w:r>
        <w:rPr>
          <w:rFonts w:ascii="Calibri" w:cs="Calibri" w:eastAsia="Calibri" w:hAnsi="Calibri"/>
          <w:sz w:val="22"/>
          <w:szCs w:val="22"/>
        </w:rPr>
        <w:t xml:space="preserve">Cardington is a Java Spring Boot REST API that acts as a wrapper for Lawson DME services, allowing other HCA applications to access Lawson data in a RESTful manner.</w:t>
      </w:r>
    </w:p>
    <w:p>
      <w:pPr>
        <w:pStyle w:val="ListParagraph"/>
        <w:numPr>
          <w:ilvl w:val="0"/>
          <w:numId w:val="2"/>
        </w:numPr>
        <w:spacing w:after="100"/>
      </w:pPr>
      <w:r>
        <w:rPr>
          <w:rFonts w:ascii="Calibri" w:cs="Calibri" w:eastAsia="Calibri" w:hAnsi="Calibri"/>
          <w:sz w:val="22"/>
          <w:szCs w:val="22"/>
        </w:rPr>
        <w:t xml:space="preserve">It functions as a read-only intermediary (IPA Middleware – Infor Process Automation) between the Infor GHR (Landmark) portal and the legacy Lawson ERP (S3) system.</w:t>
      </w:r>
    </w:p>
    <w:p>
      <w:pPr>
        <w:pStyle w:val="ListParagraph"/>
        <w:numPr>
          <w:ilvl w:val="0"/>
          <w:numId w:val="2"/>
        </w:numPr>
        <w:spacing w:after="100"/>
      </w:pPr>
      <w:r>
        <w:rPr>
          <w:rFonts w:ascii="Calibri" w:cs="Calibri" w:eastAsia="Calibri" w:hAnsi="Calibri"/>
          <w:sz w:val="22"/>
          <w:szCs w:val="22"/>
        </w:rPr>
        <w:t xml:space="preserve">Cardington has no user interface; it is accessed purely via API calls (e.g. through Postman, curl, or calling applications), which limits monitoring to server and port health rather than UI-based synthetic checks.</w:t>
      </w:r>
    </w:p>
    <w:p>
      <w:pPr>
        <w:pStyle w:val="ListParagraph"/>
        <w:numPr>
          <w:ilvl w:val="0"/>
          <w:numId w:val="2"/>
        </w:numPr>
        <w:spacing w:after="100"/>
      </w:pPr>
      <w:r>
        <w:rPr>
          <w:rFonts w:ascii="Calibri" w:cs="Calibri" w:eastAsia="Calibri" w:hAnsi="Calibri"/>
          <w:sz w:val="22"/>
          <w:szCs w:val="22"/>
        </w:rPr>
        <w:t xml:space="preserve">The application is hosted on shared on-base proxy servers alongside other ERP services such as OnbaseProxy and Trinisys.</w:t>
      </w:r>
    </w:p>
    <w:p>
      <w:pPr>
        <w:spacing w:after="80"/>
      </w:pPr>
    </w:p>
    <w:p>
      <w:pPr>
        <w:pStyle w:val="Heading2"/>
        <w:spacing w:after="120" w:before="200"/>
      </w:pPr>
      <w:r>
        <w:rPr>
          <w:rFonts w:ascii="Calibri" w:cs="Calibri" w:eastAsia="Calibri" w:hAnsi="Calibri"/>
          <w:b/>
          <w:bCs/>
          <w:color w:val="000000"/>
          <w:sz w:val="22"/>
          <w:szCs w:val="22"/>
        </w:rPr>
        <w:t xml:space="preserve">2.2 Business Process:</w:t>
      </w:r>
    </w:p>
    <w:p>
      <w:pPr>
        <w:spacing w:after="160"/>
      </w:pPr>
      <w:r>
        <w:rPr>
          <w:rFonts w:ascii="Calibri" w:cs="Calibri" w:eastAsia="Calibri" w:hAnsi="Calibri"/>
          <w:sz w:val="22"/>
          <w:szCs w:val="22"/>
        </w:rPr>
        <w:t xml:space="preserve">Personnel and HR events (hires, transfers, promotions, name changes, benefit elections, etc.) are created or updated in Infor GHR (Landmark). Cardington listens for these changes, validates them against Lawson using read-only DME queries, and synchronizes the data down to Lawson via the AGS (Application Gateway Service) write interface, which mimics manual data entry through Lawson’s native COBOL validation layer — keeping the underlying database safe from corruption.</w:t>
      </w:r>
    </w:p>
    <w:p>
      <w:pPr>
        <w:pStyle w:val="Heading2"/>
        <w:spacing w:after="120" w:before="200"/>
      </w:pPr>
      <w:r>
        <w:rPr>
          <w:rFonts w:ascii="Calibri" w:cs="Calibri" w:eastAsia="Calibri" w:hAnsi="Calibri"/>
          <w:b/>
          <w:bCs/>
          <w:color w:val="000000"/>
          <w:sz w:val="22"/>
          <w:szCs w:val="22"/>
        </w:rPr>
        <w:t xml:space="preserve">2.3 Functional Details:</w:t>
      </w:r>
    </w:p>
    <w:p>
      <w:pPr>
        <w:pStyle w:val="ListParagraph"/>
        <w:numPr>
          <w:ilvl w:val="0"/>
          <w:numId w:val="2"/>
        </w:numPr>
        <w:spacing w:after="100"/>
      </w:pPr>
      <w:r>
        <w:rPr>
          <w:rFonts w:ascii="Calibri" w:cs="Calibri" w:eastAsia="Calibri" w:hAnsi="Calibri"/>
          <w:sz w:val="22"/>
          <w:szCs w:val="22"/>
        </w:rPr>
        <w:t xml:space="preserve">Lawson Read Interface (DME Engine) – executes high-speed, read-only HTTP queries against Lawson S3 tables to verify cost centers, process levels, and job codes before changes are applied.</w:t>
      </w:r>
    </w:p>
    <w:p>
      <w:pPr>
        <w:pStyle w:val="ListParagraph"/>
        <w:numPr>
          <w:ilvl w:val="0"/>
          <w:numId w:val="2"/>
        </w:numPr>
        <w:spacing w:after="100"/>
      </w:pPr>
      <w:r>
        <w:rPr>
          <w:rFonts w:ascii="Calibri" w:cs="Calibri" w:eastAsia="Calibri" w:hAnsi="Calibri"/>
          <w:sz w:val="22"/>
          <w:szCs w:val="22"/>
        </w:rPr>
        <w:t xml:space="preserve">Lawson Write Interface (AGS Engine) – sends structured XML payloads that emulate manual entry into Lawson screens (e.g. HR11.1).</w:t>
      </w:r>
    </w:p>
    <w:p>
      <w:pPr>
        <w:pStyle w:val="ListParagraph"/>
        <w:numPr>
          <w:ilvl w:val="0"/>
          <w:numId w:val="2"/>
        </w:numPr>
        <w:spacing w:after="100"/>
      </w:pPr>
      <w:r>
        <w:rPr>
          <w:rFonts w:ascii="Calibri" w:cs="Calibri" w:eastAsia="Calibri" w:hAnsi="Calibri"/>
          <w:sz w:val="22"/>
          <w:szCs w:val="22"/>
        </w:rPr>
        <w:t xml:space="preserve">Service-account based access control: each endpoint is assigned its own service account scoped only to the data it needs (e.g. the vendor endpoint can only access the vendor table).</w:t>
      </w:r>
    </w:p>
    <w:p>
      <w:pPr>
        <w:pStyle w:val="ListParagraph"/>
        <w:numPr>
          <w:ilvl w:val="0"/>
          <w:numId w:val="2"/>
        </w:numPr>
        <w:spacing w:after="100"/>
      </w:pPr>
      <w:r>
        <w:rPr>
          <w:rFonts w:ascii="Calibri" w:cs="Calibri" w:eastAsia="Calibri" w:hAnsi="Calibri"/>
          <w:sz w:val="22"/>
          <w:szCs w:val="22"/>
        </w:rPr>
        <w:t xml:space="preserve">Planned (not yet implemented): an additional authorization layer controlling which endpoints a given service account may access.</w:t>
      </w:r>
    </w:p>
    <w:p>
      <w:pPr>
        <w:pageBreakBefore/>
      </w:pPr>
    </w:p>
    <w:p>
      <w:pPr>
        <w:pStyle w:val="Heading1"/>
        <w:spacing w:after="160" w:before="280"/>
      </w:pPr>
      <w:r>
        <w:rPr>
          <w:rFonts w:ascii="Calibri" w:cs="Calibri" w:eastAsia="Calibri" w:hAnsi="Calibri"/>
          <w:b/>
          <w:bCs/>
          <w:color w:val="000000"/>
          <w:sz w:val="24"/>
          <w:szCs w:val="24"/>
        </w:rPr>
        <w:t xml:space="preserve">3.	Technical Overview</w:t>
      </w:r>
    </w:p>
    <w:p>
      <w:pPr>
        <w:pStyle w:val="Heading2"/>
        <w:spacing w:after="120" w:before="200"/>
      </w:pPr>
      <w:r>
        <w:rPr>
          <w:rFonts w:ascii="Calibri" w:cs="Calibri" w:eastAsia="Calibri" w:hAnsi="Calibri"/>
          <w:b/>
          <w:bCs/>
          <w:color w:val="000000"/>
          <w:sz w:val="22"/>
          <w:szCs w:val="22"/>
        </w:rPr>
        <w:t xml:space="preserve">3.1 Application Architecture:</w:t>
      </w:r>
    </w:p>
    <w:p>
      <w:pPr>
        <w:spacing w:after="100" w:before="160"/>
      </w:pPr>
      <w:r>
        <w:rPr>
          <w:rFonts w:ascii="Calibri" w:cs="Calibri" w:eastAsia="Calibri" w:hAnsi="Calibri"/>
          <w:b/>
          <w:bCs/>
          <w:color w:val="000000"/>
          <w:sz w:val="22"/>
          <w:szCs w:val="22"/>
        </w:rPr>
        <w:t xml:space="preserve">Traffic Flow:</w:t>
      </w:r>
    </w:p>
    <w:p>
      <w:pPr>
        <w:pStyle w:val="ListParagraph"/>
        <w:numPr>
          <w:ilvl w:val="0"/>
          <w:numId w:val="2"/>
        </w:numPr>
        <w:spacing w:after="100"/>
      </w:pPr>
      <w:r>
        <w:rPr>
          <w:rFonts w:ascii="Calibri" w:cs="Calibri" w:eastAsia="Calibri" w:hAnsi="Calibri"/>
          <w:sz w:val="22"/>
          <w:szCs w:val="22"/>
        </w:rPr>
        <w:t xml:space="preserve">Infor GHR (Landmark) → Cardington API (Spring Boot) → Lawson ERP (S3)</w:t>
      </w:r>
    </w:p>
    <w:p>
      <w:pPr>
        <w:spacing w:after="160"/>
      </w:pPr>
      <w:r>
        <w:rPr>
          <w:rFonts w:ascii="Calibri" w:cs="Calibri" w:eastAsia="Calibri" w:hAnsi="Calibri"/>
          <w:sz w:val="22"/>
          <w:szCs w:val="22"/>
        </w:rPr>
        <w:t xml:space="preserve">The architecture is one-way: GHR calls Cardington's REST endpoints, and Cardington in turn reads/validates against Lawson (DME) and writes back through Lawson's AGS interface. There is no UI component at any layer of Cardington itself.</w:t>
      </w:r>
    </w:p>
    <w:p>
      <w:pPr>
        <w:pStyle w:val="Heading2"/>
        <w:spacing w:after="120" w:before="200"/>
      </w:pPr>
      <w:r>
        <w:rPr>
          <w:rFonts w:ascii="Calibri" w:cs="Calibri" w:eastAsia="Calibri" w:hAnsi="Calibri"/>
          <w:b/>
          <w:bCs/>
          <w:color w:val="000000"/>
          <w:sz w:val="22"/>
          <w:szCs w:val="22"/>
        </w:rPr>
        <w:t xml:space="preserve">3.2 Infrastructure:</w:t>
      </w:r>
    </w:p>
    <w:p>
      <w:pPr>
        <w:spacing w:after="160"/>
      </w:pPr>
      <w:r>
        <w:rPr>
          <w:rFonts w:ascii="Calibri" w:cs="Calibri" w:eastAsia="Calibri" w:hAnsi="Calibri"/>
          <w:sz w:val="22"/>
          <w:szCs w:val="22"/>
        </w:rPr>
        <w:t xml:space="preserve">Cardington runs across five Unix nodes (Dev, QA Node A/B, Prod Node A/B). Production and QA nodes sit behind an F5 load balancer with a configured VIP. The Unix admin team manages the servers, the F5 team manages the load balancer, and the ERP infrastructure team supports the application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60"/>
        <w:gridCol w:w="3600"/>
        <w:gridCol w:w="700"/>
        <w:gridCol w:w="1600"/>
      </w:tblGrid>
      <w:tr>
        <w:tc>
          <w:tcPr>
            <w:tcW w:type="dxa" w:w="15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Unix Servers</w:t>
            </w:r>
          </w:p>
        </w:tc>
        <w:tc>
          <w:tcPr>
            <w:tcW w:type="dxa" w:w="196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Name</w:t>
            </w:r>
          </w:p>
        </w:tc>
        <w:tc>
          <w:tcPr>
            <w:tcW w:type="dxa" w:w="36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Host</w:t>
            </w:r>
          </w:p>
        </w:tc>
        <w:tc>
          <w:tcPr>
            <w:tcW w:type="dxa" w:w="7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Port</w:t>
            </w:r>
          </w:p>
        </w:tc>
        <w:tc>
          <w:tcPr>
            <w:tcW w:type="dxa" w:w="16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IP</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 Dev</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xrdcldappobp01a.unix.medcity.net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10.27.102.73</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 QA Node A</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xrdclqappobp01a.unix.medcity.net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10.27.102.74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 QA Node B</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xrdclqappobp01b.unix.medcity.net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10.27.102.75</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 Prod Node A</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xrdclpappobp01a.unix.medcity.net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10.27.82.103</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 Prod Node B</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xrdclpappobp01b.unix.medcity.net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10.27.82.104</w:t>
            </w:r>
          </w:p>
        </w:tc>
      </w:tr>
    </w:tbl>
    <w:p>
      <w:pPr>
        <w:spacing w:after="80"/>
      </w:pPr>
    </w:p>
    <w:p>
      <w:pPr>
        <w:pStyle w:val="ListParagraph"/>
        <w:numPr>
          <w:ilvl w:val="0"/>
          <w:numId w:val="2"/>
        </w:numPr>
        <w:spacing w:after="100"/>
      </w:pPr>
      <w:r>
        <w:rPr>
          <w:rFonts w:ascii="Calibri" w:cs="Calibri" w:eastAsia="Calibri" w:hAnsi="Calibri"/>
          <w:sz w:val="22"/>
          <w:szCs w:val="22"/>
        </w:rPr>
        <w:t xml:space="preserve">cardington user profile and related passwords are configured in /home/cardington/.bash_profile.</w:t>
      </w:r>
    </w:p>
    <w:p>
      <w:pPr>
        <w:pStyle w:val="ListParagraph"/>
        <w:numPr>
          <w:ilvl w:val="0"/>
          <w:numId w:val="2"/>
        </w:numPr>
        <w:spacing w:after="100"/>
      </w:pPr>
      <w:r>
        <w:rPr>
          <w:rFonts w:ascii="Calibri" w:cs="Calibri" w:eastAsia="Calibri" w:hAnsi="Calibri"/>
          <w:sz w:val="22"/>
          <w:szCs w:val="22"/>
        </w:rPr>
        <w:t xml:space="preserve">OnBase-related passwords/configuration are maintained separately in /home/obpsvc/.bash_profile.</w:t>
      </w:r>
    </w:p>
    <w:p>
      <w:pPr>
        <w:pStyle w:val="ListParagraph"/>
        <w:numPr>
          <w:ilvl w:val="0"/>
          <w:numId w:val="2"/>
        </w:numPr>
        <w:spacing w:after="100"/>
      </w:pPr>
      <w:r>
        <w:rPr>
          <w:rFonts w:ascii="Calibri" w:cs="Calibri" w:eastAsia="Calibri" w:hAnsi="Calibri"/>
          <w:sz w:val="22"/>
          <w:szCs w:val="22"/>
        </w:rPr>
        <w:t xml:space="preserve">After any change to a bash profile, source it (run `source ~/.bash_profile` from the home directory) and restart the app for the change to take effect.</w:t>
      </w:r>
    </w:p>
    <w:p>
      <w:pPr>
        <w:pageBreakBefore/>
      </w:pPr>
    </w:p>
    <w:p>
      <w:pPr>
        <w:pStyle w:val="Heading2"/>
        <w:spacing w:after="120" w:before="200"/>
      </w:pPr>
      <w:r>
        <w:rPr>
          <w:rFonts w:ascii="Calibri" w:cs="Calibri" w:eastAsia="Calibri" w:hAnsi="Calibri"/>
          <w:b/>
          <w:bCs/>
          <w:color w:val="000000"/>
          <w:sz w:val="22"/>
          <w:szCs w:val="22"/>
        </w:rPr>
        <w:t xml:space="preserve">3.3 Service Management:</w:t>
      </w:r>
    </w:p>
    <w:p>
      <w:pPr>
        <w:spacing w:after="160"/>
      </w:pPr>
      <w:r>
        <w:rPr>
          <w:rFonts w:ascii="Calibri" w:cs="Calibri" w:eastAsia="Calibri" w:hAnsi="Calibri"/>
          <w:sz w:val="22"/>
          <w:szCs w:val="22"/>
        </w:rPr>
        <w:t xml:space="preserve">Cardington runs as a systemd service (cardington.service) and is packaged as a Spring Boot executable JAR deployed to /opt/cardington.</w:t>
      </w:r>
    </w:p>
    <w:p>
      <w:pPr>
        <w:spacing w:after="100" w:before="160"/>
      </w:pPr>
      <w:r>
        <w:rPr>
          <w:rFonts w:ascii="Calibri" w:cs="Calibri" w:eastAsia="Calibri" w:hAnsi="Calibri"/>
          <w:b/>
          <w:bCs/>
          <w:color w:val="000000"/>
          <w:sz w:val="22"/>
          <w:szCs w:val="22"/>
        </w:rPr>
        <w:t xml:space="preserve">Status / Restart Commands:</w:t>
      </w:r>
    </w:p>
    <w:p>
      <w:pPr>
        <w:pStyle w:val="ListParagraph"/>
        <w:numPr>
          <w:ilvl w:val="0"/>
          <w:numId w:val="2"/>
        </w:numPr>
        <w:spacing w:after="100"/>
      </w:pPr>
      <w:r>
        <w:rPr>
          <w:rFonts w:ascii="Calibri" w:cs="Calibri" w:eastAsia="Calibri" w:hAnsi="Calibri"/>
          <w:sz w:val="22"/>
          <w:szCs w:val="22"/>
        </w:rPr>
        <w:t xml:space="preserve">Status:  sudo /usr/bin/systemctl status cardington.service</w:t>
      </w:r>
    </w:p>
    <w:p>
      <w:pPr>
        <w:pStyle w:val="ListParagraph"/>
        <w:numPr>
          <w:ilvl w:val="0"/>
          <w:numId w:val="2"/>
        </w:numPr>
        <w:spacing w:after="100"/>
      </w:pPr>
      <w:r>
        <w:rPr>
          <w:rFonts w:ascii="Calibri" w:cs="Calibri" w:eastAsia="Calibri" w:hAnsi="Calibri"/>
          <w:sz w:val="22"/>
          <w:szCs w:val="22"/>
        </w:rPr>
        <w:t xml:space="preserve">Stop:    sudo /usr/bin/systemctl stop cardington.service</w:t>
      </w:r>
    </w:p>
    <w:p>
      <w:pPr>
        <w:pStyle w:val="ListParagraph"/>
        <w:numPr>
          <w:ilvl w:val="0"/>
          <w:numId w:val="2"/>
        </w:numPr>
        <w:spacing w:after="100"/>
      </w:pPr>
      <w:r>
        <w:rPr>
          <w:rFonts w:ascii="Calibri" w:cs="Calibri" w:eastAsia="Calibri" w:hAnsi="Calibri"/>
          <w:sz w:val="22"/>
          <w:szCs w:val="22"/>
        </w:rPr>
        <w:t xml:space="preserve">Start:   sudo /usr/bin/systemctl start cardington.service</w:t>
      </w:r>
    </w:p>
    <w:p>
      <w:pPr>
        <w:spacing w:after="160"/>
      </w:pPr>
      <w:r>
        <w:rPr>
          <w:rFonts w:ascii="Calibri" w:cs="Calibri" w:eastAsia="Calibri" w:hAnsi="Calibri"/>
          <w:sz w:val="22"/>
          <w:szCs w:val="22"/>
        </w:rPr>
        <w:t xml:space="preserve">Cardington exposes Spring Actuator endpoints for service metrics and dynamic logging management, without requiring an app restart:</w:t>
      </w:r>
    </w:p>
    <w:p>
      <w:pPr>
        <w:pStyle w:val="ListParagraph"/>
        <w:numPr>
          <w:ilvl w:val="0"/>
          <w:numId w:val="2"/>
        </w:numPr>
        <w:spacing w:after="100"/>
      </w:pPr>
      <w:r>
        <w:rPr>
          <w:rFonts w:ascii="Calibri" w:cs="Calibri" w:eastAsia="Calibri" w:hAnsi="Calibri"/>
          <w:sz w:val="22"/>
          <w:szCs w:val="22"/>
        </w:rPr>
        <w:t xml:space="preserve">Actuator base:  http://xrdcldappobp01a.unix.medcity.net:8082/cardington/actuator</w:t>
      </w:r>
    </w:p>
    <w:p>
      <w:pPr>
        <w:pStyle w:val="ListParagraph"/>
        <w:numPr>
          <w:ilvl w:val="0"/>
          <w:numId w:val="2"/>
        </w:numPr>
        <w:spacing w:after="100"/>
      </w:pPr>
      <w:r>
        <w:rPr>
          <w:rFonts w:ascii="Calibri" w:cs="Calibri" w:eastAsia="Calibri" w:hAnsi="Calibri"/>
          <w:sz w:val="22"/>
          <w:szCs w:val="22"/>
        </w:rPr>
        <w:t xml:space="preserve">Loggers:        http://xrdcldappobp01a.unix.medcity.net:8082/cardington/actuator/loggers</w:t>
      </w:r>
    </w:p>
    <w:p>
      <w:pPr>
        <w:pStyle w:val="ListParagraph"/>
        <w:numPr>
          <w:ilvl w:val="0"/>
          <w:numId w:val="2"/>
        </w:numPr>
        <w:spacing w:after="100"/>
      </w:pPr>
      <w:r>
        <w:rPr>
          <w:rFonts w:ascii="Calibri" w:cs="Calibri" w:eastAsia="Calibri" w:hAnsi="Calibri"/>
          <w:sz w:val="22"/>
          <w:szCs w:val="22"/>
        </w:rPr>
        <w:t xml:space="preserve">Swagger UI (DEV): http://xrdcldappobp01a.unix.medcity.net:8082/cardington/swagger-ui.html</w:t>
      </w:r>
    </w:p>
    <w:p>
      <w:pPr>
        <w:pStyle w:val="Heading2"/>
        <w:spacing w:after="120" w:before="200"/>
      </w:pPr>
      <w:r>
        <w:rPr>
          <w:rFonts w:ascii="Calibri" w:cs="Calibri" w:eastAsia="Calibri" w:hAnsi="Calibri"/>
          <w:b/>
          <w:bCs/>
          <w:color w:val="000000"/>
          <w:sz w:val="22"/>
          <w:szCs w:val="22"/>
        </w:rPr>
        <w:t xml:space="preserve">3.4 CI/CD &amp; Deployment:</w:t>
      </w:r>
    </w:p>
    <w:p>
      <w:pPr>
        <w:spacing w:after="160"/>
      </w:pPr>
      <w:r>
        <w:rPr>
          <w:rFonts w:ascii="Calibri" w:cs="Calibri" w:eastAsia="Calibri" w:hAnsi="Calibri"/>
          <w:sz w:val="22"/>
          <w:szCs w:val="22"/>
        </w:rPr>
        <w:t xml:space="preserve">Cardington is deployed via GitHub Actions. The primary workflow is “Build and Deploy” (maven.yml). The following actions are also available, mirroring the same stop/start/status pattern without a code change:</w:t>
      </w:r>
    </w:p>
    <w:p>
      <w:pPr>
        <w:pStyle w:val="ListParagraph"/>
        <w:numPr>
          <w:ilvl w:val="0"/>
          <w:numId w:val="2"/>
        </w:numPr>
        <w:spacing w:after="100"/>
      </w:pPr>
      <w:r>
        <w:rPr>
          <w:rFonts w:ascii="Calibri" w:cs="Calibri" w:eastAsia="Calibri" w:hAnsi="Calibri"/>
          <w:sz w:val="22"/>
          <w:szCs w:val="22"/>
        </w:rPr>
        <w:t xml:space="preserve">Restart Cardington – stop/start/status</w:t>
      </w:r>
    </w:p>
    <w:p>
      <w:pPr>
        <w:pStyle w:val="ListParagraph"/>
        <w:numPr>
          <w:ilvl w:val="0"/>
          <w:numId w:val="2"/>
        </w:numPr>
        <w:spacing w:after="100"/>
      </w:pPr>
      <w:r>
        <w:rPr>
          <w:rFonts w:ascii="Calibri" w:cs="Calibri" w:eastAsia="Calibri" w:hAnsi="Calibri"/>
          <w:sz w:val="22"/>
          <w:szCs w:val="22"/>
        </w:rPr>
        <w:t xml:space="preserve">Stop Cardington – stop the app and show status (status will report failure once stopped)</w:t>
      </w:r>
    </w:p>
    <w:p>
      <w:pPr>
        <w:pStyle w:val="ListParagraph"/>
        <w:numPr>
          <w:ilvl w:val="0"/>
          <w:numId w:val="2"/>
        </w:numPr>
        <w:spacing w:after="100"/>
      </w:pPr>
      <w:r>
        <w:rPr>
          <w:rFonts w:ascii="Calibri" w:cs="Calibri" w:eastAsia="Calibri" w:hAnsi="Calibri"/>
          <w:sz w:val="22"/>
          <w:szCs w:val="22"/>
        </w:rPr>
        <w:t xml:space="preserve">Start Cardington – start the app and show status</w:t>
      </w:r>
    </w:p>
    <w:p>
      <w:pPr>
        <w:pStyle w:val="ListParagraph"/>
        <w:numPr>
          <w:ilvl w:val="0"/>
          <w:numId w:val="2"/>
        </w:numPr>
        <w:spacing w:after="100"/>
      </w:pPr>
      <w:r>
        <w:rPr>
          <w:rFonts w:ascii="Calibri" w:cs="Calibri" w:eastAsia="Calibri" w:hAnsi="Calibri"/>
          <w:sz w:val="22"/>
          <w:szCs w:val="22"/>
        </w:rPr>
        <w:t xml:space="preserve">Cardington Status – show current status (fails if the app is down)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GitHub Environment</w:t>
            </w:r>
          </w:p>
        </w:tc>
        <w:tc>
          <w:tcPr>
            <w:tcW w:type="dxa" w:w="60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Permitted Actions / Protections</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DEV</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Deploy or restart. No protections.</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QA Node A / QA Node B</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Deploy or restart. Requires approval.</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QA Node A restart / QA Node B restart</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Restart only. No protections.</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Prod Node A / Prod Node B</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Deploy or restart. Requires approval.</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Prod Node A restart / Prod Node B restart</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Restart only. No protections.</w:t>
            </w:r>
          </w:p>
        </w:tc>
      </w:tr>
    </w:tbl>
    <w:p>
      <w:pPr>
        <w:spacing w:after="80"/>
      </w:pPr>
    </w:p>
    <w:p>
      <w:pPr>
        <w:spacing w:after="160"/>
      </w:pPr>
      <w:r>
        <w:rPr>
          <w:rFonts w:ascii="Calibri" w:cs="Calibri" w:eastAsia="Calibri" w:hAnsi="Calibri"/>
          <w:sz w:val="22"/>
          <w:szCs w:val="22"/>
        </w:rPr>
        <w:t xml:space="preserve">SRE involvement in deployments is primarily limited to approving protected environment runs; deployments themselves are infrequent and the application requires minimal day-to-day intervention.</w:t>
      </w:r>
    </w:p>
    <w:p>
      <w:pPr>
        <w:pageBreakBefore/>
      </w:pPr>
    </w:p>
    <w:p>
      <w:pPr>
        <w:pStyle w:val="Heading2"/>
        <w:spacing w:after="120" w:before="200"/>
      </w:pPr>
      <w:r>
        <w:rPr>
          <w:rFonts w:ascii="Calibri" w:cs="Calibri" w:eastAsia="Calibri" w:hAnsi="Calibri"/>
          <w:b/>
          <w:bCs/>
          <w:color w:val="000000"/>
          <w:sz w:val="22"/>
          <w:szCs w:val="22"/>
        </w:rPr>
        <w:t xml:space="preserve">3.5 Logging &amp; Diagnostics:</w:t>
      </w:r>
    </w:p>
    <w:p>
      <w:pPr>
        <w:spacing w:after="160"/>
      </w:pPr>
      <w:r>
        <w:rPr>
          <w:rFonts w:ascii="Calibri" w:cs="Calibri" w:eastAsia="Calibri" w:hAnsi="Calibri"/>
          <w:sz w:val="22"/>
          <w:szCs w:val="22"/>
        </w:rPr>
        <w:t xml:space="preserve">Log files are written to /opt/cardington/log/cardington.log. The log directory is isolated per application mount point, so log growth in Cardington does not impact other co-hosted services. The primary recurring operational issue is log files consuming disk space, which can cause the application to hang; clearing logs and restarting the service resolves this.</w:t>
      </w:r>
    </w:p>
    <w:p>
      <w:pPr>
        <w:pStyle w:val="ListParagraph"/>
        <w:numPr>
          <w:ilvl w:val="0"/>
          <w:numId w:val="2"/>
        </w:numPr>
        <w:spacing w:after="100"/>
      </w:pPr>
      <w:r>
        <w:rPr>
          <w:rFonts w:ascii="Calibri" w:cs="Calibri" w:eastAsia="Calibri" w:hAnsi="Calibri"/>
          <w:sz w:val="22"/>
          <w:szCs w:val="22"/>
        </w:rPr>
        <w:t xml:space="preserve">Tail logs:  tail -f /opt/cardington/log/cardington.log</w:t>
      </w:r>
    </w:p>
    <w:p>
      <w:pPr>
        <w:spacing w:after="100" w:before="160"/>
      </w:pPr>
      <w:r>
        <w:rPr>
          <w:rFonts w:ascii="Calibri" w:cs="Calibri" w:eastAsia="Calibri" w:hAnsi="Calibri"/>
          <w:b/>
          <w:bCs/>
          <w:color w:val="000000"/>
          <w:sz w:val="22"/>
          <w:szCs w:val="22"/>
        </w:rPr>
        <w:t xml:space="preserve">Dynamically changing log levels (no restart required):</w:t>
      </w:r>
    </w:p>
    <w:p>
      <w:pPr>
        <w:spacing w:after="160"/>
      </w:pPr>
      <w:r>
        <w:rPr>
          <w:rFonts w:ascii="Calibri" w:cs="Calibri" w:eastAsia="Calibri" w:hAnsi="Calibri"/>
          <w:sz w:val="22"/>
          <w:szCs w:val="22"/>
        </w:rPr>
        <w:t xml:space="preserve">Verify current log level for a class/endpoint:</w:t>
      </w:r>
    </w:p>
    <w:p>
      <w:pPr>
        <w:pStyle w:val="ListParagraph"/>
        <w:numPr>
          <w:ilvl w:val="0"/>
          <w:numId w:val="2"/>
        </w:numPr>
        <w:spacing w:after="100"/>
      </w:pPr>
      <w:r>
        <w:rPr>
          <w:rFonts w:ascii="Calibri" w:cs="Calibri" w:eastAsia="Calibri" w:hAnsi="Calibri"/>
          <w:sz w:val="22"/>
          <w:szCs w:val="22"/>
        </w:rPr>
        <w:t xml:space="preserve">curl "http://xrdcldappobp01a.unix.medcity.net:8082/cardington/actuator/loggers/com.hca.cardington.service.EmployeePTOService"</w:t>
      </w:r>
    </w:p>
    <w:p>
      <w:pPr>
        <w:spacing w:after="160"/>
      </w:pPr>
      <w:r>
        <w:rPr>
          <w:rFonts w:ascii="Calibri" w:cs="Calibri" w:eastAsia="Calibri" w:hAnsi="Calibri"/>
          <w:sz w:val="22"/>
          <w:szCs w:val="22"/>
        </w:rPr>
        <w:t xml:space="preserve">Update log level to DEBUG for a class/endpoint:</w:t>
      </w:r>
    </w:p>
    <w:p>
      <w:pPr>
        <w:pStyle w:val="ListParagraph"/>
        <w:numPr>
          <w:ilvl w:val="0"/>
          <w:numId w:val="2"/>
        </w:numPr>
        <w:spacing w:after="100"/>
      </w:pPr>
      <w:r>
        <w:rPr>
          <w:rFonts w:ascii="Calibri" w:cs="Calibri" w:eastAsia="Calibri" w:hAnsi="Calibri"/>
          <w:sz w:val="22"/>
          <w:szCs w:val="22"/>
        </w:rPr>
        <w:t xml:space="preserve">curl -X POST "http://xrdcldappobp01a.unix.medcity.net:8082/cardington/actuator/loggers/com.hca.cardington.controllers.EmployeePTOController" -H "Content-Type: application/json" -d '{"configuredLevel":"DEBUG"}'</w:t>
      </w:r>
    </w:p>
    <w:p>
      <w:pPr>
        <w:spacing w:after="160"/>
      </w:pPr>
      <w:r>
        <w:rPr>
          <w:rFonts w:ascii="Calibri" w:cs="Calibri" w:eastAsia="Calibri" w:hAnsi="Calibri"/>
          <w:sz w:val="22"/>
          <w:szCs w:val="22"/>
        </w:rPr>
        <w:t xml:space="preserve">After changing a log level, re-invoke the relevant endpoint via Swagger and tail the log file to confirm the new verbosity, then re-verify the configured level via the GET request above.</w:t>
      </w:r>
    </w:p>
    <w:p>
      <w:pPr>
        <w:pStyle w:val="Heading1"/>
        <w:spacing w:after="160" w:before="280"/>
      </w:pPr>
      <w:r>
        <w:rPr>
          <w:rFonts w:ascii="Calibri" w:cs="Calibri" w:eastAsia="Calibri" w:hAnsi="Calibri"/>
          <w:b/>
          <w:bCs/>
          <w:color w:val="000000"/>
          <w:sz w:val="24"/>
          <w:szCs w:val="24"/>
        </w:rPr>
        <w:t xml:space="preserve">4.	Performance, Security &amp; Scalability:</w:t>
      </w:r>
    </w:p>
    <w:p>
      <w:pPr>
        <w:pStyle w:val="ListParagraph"/>
        <w:numPr>
          <w:ilvl w:val="0"/>
          <w:numId w:val="2"/>
        </w:numPr>
        <w:spacing w:after="100"/>
      </w:pPr>
      <w:r>
        <w:rPr>
          <w:rFonts w:ascii="Calibri" w:cs="Calibri" w:eastAsia="Calibri" w:hAnsi="Calibri"/>
          <w:sz w:val="22"/>
          <w:szCs w:val="22"/>
        </w:rPr>
        <w:t xml:space="preserve">Monitoring is performed via Dynatrace dashboards covering the Cardington server and Apache Tomcat.</w:t>
      </w:r>
    </w:p>
    <w:p>
      <w:pPr>
        <w:pStyle w:val="ListParagraph"/>
        <w:numPr>
          <w:ilvl w:val="0"/>
          <w:numId w:val="2"/>
        </w:numPr>
        <w:spacing w:after="100"/>
      </w:pPr>
      <w:r>
        <w:rPr>
          <w:rFonts w:ascii="Calibri" w:cs="Calibri" w:eastAsia="Calibri" w:hAnsi="Calibri"/>
          <w:sz w:val="22"/>
          <w:szCs w:val="22"/>
        </w:rPr>
        <w:t xml:space="preserve">Because Cardington has no UI, synthetic monitoring is limited to server and port availability checks rather than UI-based synthetic transactions.</w:t>
      </w:r>
    </w:p>
    <w:p>
      <w:pPr>
        <w:pStyle w:val="ListParagraph"/>
        <w:numPr>
          <w:ilvl w:val="0"/>
          <w:numId w:val="2"/>
        </w:numPr>
        <w:spacing w:after="100"/>
      </w:pPr>
      <w:r>
        <w:rPr>
          <w:rFonts w:ascii="Calibri" w:cs="Calibri" w:eastAsia="Calibri" w:hAnsi="Calibri"/>
          <w:sz w:val="22"/>
          <w:szCs w:val="22"/>
        </w:rPr>
        <w:t xml:space="preserve">Two nodes per environment (QA and Prod) sit behind an F5 load balancer for availability; current traffic levels do not require additional nodes.</w:t>
      </w:r>
    </w:p>
    <w:p>
      <w:pPr>
        <w:pStyle w:val="ListParagraph"/>
        <w:numPr>
          <w:ilvl w:val="0"/>
          <w:numId w:val="2"/>
        </w:numPr>
        <w:spacing w:after="100"/>
      </w:pPr>
      <w:r>
        <w:rPr>
          <w:rFonts w:ascii="Calibri" w:cs="Calibri" w:eastAsia="Calibri" w:hAnsi="Calibri"/>
          <w:sz w:val="22"/>
          <w:szCs w:val="22"/>
        </w:rPr>
        <w:t xml:space="preserve">Access is secured via service accounts scoped per endpoint; only SSH (port 22) is required for server management, and firewall rules are already configured for API traffic – no additional ports need to be opened.</w:t>
      </w:r>
    </w:p>
    <w:p>
      <w:pPr>
        <w:pageBreakBefore/>
      </w:pPr>
    </w:p>
    <w:p>
      <w:pPr>
        <w:pStyle w:val="Heading1"/>
        <w:spacing w:after="160" w:before="280"/>
      </w:pPr>
      <w:r>
        <w:rPr>
          <w:rFonts w:ascii="Calibri" w:cs="Calibri" w:eastAsia="Calibri" w:hAnsi="Calibri"/>
          <w:b/>
          <w:bCs/>
          <w:color w:val="000000"/>
          <w:sz w:val="24"/>
          <w:szCs w:val="24"/>
        </w:rPr>
        <w:t xml:space="preserve">5.	Source Code Walkthrough:</w:t>
      </w:r>
    </w:p>
    <w:p>
      <w:pPr>
        <w:pStyle w:val="ListParagraph"/>
        <w:numPr>
          <w:ilvl w:val="0"/>
          <w:numId w:val="2"/>
        </w:numPr>
        <w:spacing w:after="100"/>
      </w:pPr>
      <w:r>
        <w:rPr>
          <w:rFonts w:ascii="Calibri" w:cs="Calibri" w:eastAsia="Calibri" w:hAnsi="Calibri"/>
          <w:sz w:val="22"/>
          <w:szCs w:val="22"/>
        </w:rPr>
        <w:t xml:space="preserve">Tech stack: Spring Boot 2.5.6, OpenJDK 1.8.</w:t>
      </w:r>
    </w:p>
    <w:p>
      <w:pPr>
        <w:pStyle w:val="ListParagraph"/>
        <w:numPr>
          <w:ilvl w:val="0"/>
          <w:numId w:val="2"/>
        </w:numPr>
        <w:spacing w:after="100"/>
      </w:pPr>
      <w:r>
        <w:rPr>
          <w:rFonts w:ascii="Calibri" w:cs="Calibri" w:eastAsia="Calibri" w:hAnsi="Calibri"/>
          <w:sz w:val="22"/>
          <w:szCs w:val="22"/>
        </w:rPr>
        <w:t xml:space="preserve">Build: mvn -B package --file pom.xml  (Note: the pom file has several JAXB dependencies commented out – uncomment if build exceptions occur.)</w:t>
      </w:r>
    </w:p>
    <w:p>
      <w:pPr>
        <w:pStyle w:val="ListParagraph"/>
        <w:numPr>
          <w:ilvl w:val="0"/>
          <w:numId w:val="2"/>
        </w:numPr>
        <w:spacing w:after="100"/>
      </w:pPr>
      <w:r>
        <w:rPr>
          <w:rFonts w:ascii="Calibri" w:cs="Calibri" w:eastAsia="Calibri" w:hAnsi="Calibri"/>
          <w:sz w:val="22"/>
          <w:szCs w:val="22"/>
        </w:rPr>
        <w:t xml:space="preserve">Run locally (without conf files): java -jar -Dspring.profiles.active=DEV -Dsun.misc.URLClassPath.disableJarChecking=true -Dlogging.level.root=DEBUG ./target/Cardington-1.0.0-SNAPSHOT.jar</w:t>
      </w:r>
    </w:p>
    <w:p>
      <w:pPr>
        <w:pStyle w:val="ListParagraph"/>
        <w:numPr>
          <w:ilvl w:val="0"/>
          <w:numId w:val="2"/>
        </w:numPr>
        <w:spacing w:after="100"/>
      </w:pPr>
      <w:r>
        <w:rPr>
          <w:rFonts w:ascii="Calibri" w:cs="Calibri" w:eastAsia="Calibri" w:hAnsi="Calibri"/>
          <w:sz w:val="22"/>
          <w:szCs w:val="22"/>
        </w:rPr>
        <w:t xml:space="preserve">Local log output is written to /opt/cardington/log.</w:t>
      </w:r>
    </w:p>
    <w:p>
      <w:pPr>
        <w:pStyle w:val="ListParagraph"/>
        <w:numPr>
          <w:ilvl w:val="0"/>
          <w:numId w:val="2"/>
        </w:numPr>
        <w:spacing w:after="100"/>
      </w:pPr>
      <w:r>
        <w:rPr>
          <w:rFonts w:ascii="Calibri" w:cs="Calibri" w:eastAsia="Calibri" w:hAnsi="Calibri"/>
          <w:sz w:val="22"/>
          <w:szCs w:val="22"/>
        </w:rPr>
        <w:t xml:space="preserve">The codebase uses Lombok (for SLF4J logging, getters/setters) to reduce boilerplate – IDE plugin setup is required for Eclipse/IntelliJ.</w:t>
      </w:r>
    </w:p>
    <w:p>
      <w:pPr>
        <w:pStyle w:val="ListParagraph"/>
        <w:numPr>
          <w:ilvl w:val="0"/>
          <w:numId w:val="2"/>
        </w:numPr>
        <w:spacing w:after="100"/>
      </w:pPr>
      <w:r>
        <w:rPr>
          <w:rFonts w:ascii="Calibri" w:cs="Calibri" w:eastAsia="Calibri" w:hAnsi="Calibri"/>
          <w:sz w:val="22"/>
          <w:szCs w:val="22"/>
        </w:rPr>
        <w:t xml:space="preserve">Source code and documentation (GitHub wiki) are maintained in the application's GitHub repository; SREs support runtime and infrastructure only, not application code changes.</w:t>
      </w:r>
    </w:p>
    <w:p>
      <w:pPr>
        <w:pStyle w:val="Heading1"/>
        <w:spacing w:after="160" w:before="280"/>
      </w:pPr>
      <w:r>
        <w:rPr>
          <w:rFonts w:ascii="Calibri" w:cs="Calibri" w:eastAsia="Calibri" w:hAnsi="Calibri"/>
          <w:b/>
          <w:bCs/>
          <w:color w:val="000000"/>
          <w:sz w:val="24"/>
          <w:szCs w:val="24"/>
        </w:rPr>
        <w:t xml:space="preserve">6.	Operations and Maintenance:</w:t>
      </w:r>
    </w:p>
    <w:p>
      <w:pPr>
        <w:pStyle w:val="ListParagraph"/>
        <w:numPr>
          <w:ilvl w:val="0"/>
          <w:numId w:val="2"/>
        </w:numPr>
        <w:spacing w:after="100"/>
      </w:pPr>
      <w:r>
        <w:rPr>
          <w:rFonts w:ascii="Calibri" w:cs="Calibri" w:eastAsia="Calibri" w:hAnsi="Calibri"/>
          <w:sz w:val="22"/>
          <w:szCs w:val="22"/>
        </w:rPr>
        <w:t xml:space="preserve">Routine maintenance is centered on monitoring and clearing log directories before they fill available disk space.</w:t>
      </w:r>
    </w:p>
    <w:p>
      <w:pPr>
        <w:pStyle w:val="ListParagraph"/>
        <w:numPr>
          <w:ilvl w:val="0"/>
          <w:numId w:val="2"/>
        </w:numPr>
        <w:spacing w:after="100"/>
      </w:pPr>
      <w:r>
        <w:rPr>
          <w:rFonts w:ascii="Calibri" w:cs="Calibri" w:eastAsia="Calibri" w:hAnsi="Calibri"/>
          <w:sz w:val="22"/>
          <w:szCs w:val="22"/>
        </w:rPr>
        <w:t xml:space="preserve">Restarting the service (via systemctl or the GitHub Actions “Restart Cardington” workflow) resolves most hang conditions caused by log growth.</w:t>
      </w:r>
    </w:p>
    <w:p>
      <w:pPr>
        <w:pStyle w:val="ListParagraph"/>
        <w:numPr>
          <w:ilvl w:val="0"/>
          <w:numId w:val="2"/>
        </w:numPr>
        <w:spacing w:after="100"/>
      </w:pPr>
      <w:r>
        <w:rPr>
          <w:rFonts w:ascii="Calibri" w:cs="Calibri" w:eastAsia="Calibri" w:hAnsi="Calibri"/>
          <w:sz w:val="22"/>
          <w:szCs w:val="22"/>
        </w:rPr>
        <w:t xml:space="preserve">No P1/P2 incidents have occurred in recent years aside from log-space related issues.</w:t>
      </w:r>
    </w:p>
    <w:p>
      <w:pPr>
        <w:pStyle w:val="ListParagraph"/>
        <w:numPr>
          <w:ilvl w:val="0"/>
          <w:numId w:val="2"/>
        </w:numPr>
        <w:spacing w:after="100"/>
      </w:pPr>
      <w:r>
        <w:rPr>
          <w:rFonts w:ascii="Calibri" w:cs="Calibri" w:eastAsia="Calibri" w:hAnsi="Calibri"/>
          <w:sz w:val="22"/>
          <w:szCs w:val="22"/>
        </w:rPr>
        <w:t xml:space="preserve">Cardington downtime is treated as Severity One / Priority One, since it directly impacts HR data accuracy displayed on the GHR portal – though it is considered less critical than an outage of Lawson itself.</w:t>
      </w:r>
    </w:p>
    <w:p>
      <w:pPr>
        <w:pStyle w:val="ListParagraph"/>
        <w:numPr>
          <w:ilvl w:val="0"/>
          <w:numId w:val="2"/>
        </w:numPr>
        <w:spacing w:after="100"/>
      </w:pPr>
      <w:r>
        <w:rPr>
          <w:rFonts w:ascii="Calibri" w:cs="Calibri" w:eastAsia="Calibri" w:hAnsi="Calibri"/>
          <w:sz w:val="22"/>
          <w:szCs w:val="22"/>
        </w:rPr>
        <w:t xml:space="preserve">Postman collections are available (shared by the application team) for testing Cardington APIs end-to-end.</w:t>
      </w:r>
    </w:p>
    <w:p>
      <w:pPr>
        <w:pStyle w:val="ListParagraph"/>
        <w:numPr>
          <w:ilvl w:val="0"/>
          <w:numId w:val="2"/>
        </w:numPr>
        <w:spacing w:after="100"/>
      </w:pPr>
      <w:r>
        <w:rPr>
          <w:rFonts w:ascii="Calibri" w:cs="Calibri" w:eastAsia="Calibri" w:hAnsi="Calibri"/>
          <w:sz w:val="22"/>
          <w:szCs w:val="22"/>
        </w:rPr>
        <w:t xml:space="preserve">Access management (GitHub repository permissions, distribution list membership) is coordinated with the application team during onboarding.</w:t>
      </w:r>
    </w:p>
    <w:p>
      <w:pPr>
        <w:pageBreakBefore/>
      </w:pPr>
    </w:p>
    <w:p>
      <w:pPr>
        <w:pStyle w:val="Heading1"/>
        <w:spacing w:after="160" w:before="280"/>
      </w:pPr>
      <w:r>
        <w:rPr>
          <w:rFonts w:ascii="Calibri" w:cs="Calibri" w:eastAsia="Calibri" w:hAnsi="Calibri"/>
          <w:b/>
          <w:bCs/>
          <w:color w:val="000000"/>
          <w:sz w:val="24"/>
          <w:szCs w:val="24"/>
        </w:rPr>
        <w:t xml:space="preserve">7.	Key POCs</w:t>
      </w:r>
    </w:p>
    <w:p>
      <w:pPr>
        <w:spacing w:after="160"/>
      </w:pPr>
      <w:r>
        <w:rPr>
          <w:rFonts w:ascii="Calibri" w:cs="Calibri" w:eastAsia="Calibri" w:hAnsi="Calibri"/>
          <w:b/>
          <w:bCs/>
          <w:sz w:val="22"/>
          <w:szCs w:val="22"/>
        </w:rPr>
        <w:t xml:space="preserve">Application Team / Architecture Knowledge:</w:t>
      </w:r>
    </w:p>
    <w:p>
      <w:pPr>
        <w:pStyle w:val="ListParagraph"/>
        <w:numPr>
          <w:ilvl w:val="0"/>
          <w:numId w:val="2"/>
        </w:numPr>
        <w:spacing w:after="100"/>
      </w:pPr>
      <w:r>
        <w:rPr>
          <w:rFonts w:ascii="Calibri" w:cs="Calibri" w:eastAsia="Calibri" w:hAnsi="Calibri"/>
          <w:sz w:val="22"/>
          <w:szCs w:val="22"/>
        </w:rPr>
        <w:t xml:space="preserve">Venkat Deverakonda – Cardington architecture, data flow, and deployment process</w:t>
      </w:r>
    </w:p>
    <w:p>
      <w:pPr>
        <w:pStyle w:val="ListParagraph"/>
        <w:numPr>
          <w:ilvl w:val="0"/>
          <w:numId w:val="2"/>
        </w:numPr>
        <w:spacing w:after="100"/>
      </w:pPr>
      <w:r>
        <w:rPr>
          <w:rFonts w:ascii="Calibri" w:cs="Calibri" w:eastAsia="Calibri" w:hAnsi="Calibri"/>
          <w:sz w:val="22"/>
          <w:szCs w:val="22"/>
        </w:rPr>
        <w:t xml:space="preserve">Keith Boggs – Deployment environments, monitoring setup, operational concerns</w:t>
      </w:r>
    </w:p>
    <w:p>
      <w:pPr>
        <w:pStyle w:val="ListParagraph"/>
        <w:numPr>
          <w:ilvl w:val="0"/>
          <w:numId w:val="2"/>
        </w:numPr>
        <w:spacing w:after="100"/>
      </w:pPr>
      <w:r>
        <w:rPr>
          <w:rFonts w:ascii="Calibri" w:cs="Calibri" w:eastAsia="Calibri" w:hAnsi="Calibri"/>
          <w:sz w:val="22"/>
          <w:szCs w:val="22"/>
        </w:rPr>
        <w:t xml:space="preserve">Daniel Joseph – Access management (GitHub, distribution lists)</w:t>
      </w:r>
    </w:p>
    <w:p>
      <w:pPr>
        <w:spacing w:after="80"/>
      </w:pPr>
    </w:p>
    <w:p>
      <w:pPr>
        <w:spacing w:after="160"/>
      </w:pPr>
      <w:r>
        <w:rPr>
          <w:rFonts w:ascii="Calibri" w:cs="Calibri" w:eastAsia="Calibri" w:hAnsi="Calibri"/>
          <w:b/>
          <w:bCs/>
          <w:sz w:val="22"/>
          <w:szCs w:val="22"/>
        </w:rPr>
        <w:t xml:space="preserve">ERP SRE Team:</w:t>
      </w:r>
    </w:p>
    <w:p>
      <w:pPr>
        <w:pStyle w:val="ListParagraph"/>
        <w:numPr>
          <w:ilvl w:val="0"/>
          <w:numId w:val="2"/>
        </w:numPr>
        <w:spacing w:after="100"/>
      </w:pPr>
      <w:r>
        <w:rPr>
          <w:rFonts w:ascii="Calibri" w:cs="Calibri" w:eastAsia="Calibri" w:hAnsi="Calibri"/>
          <w:sz w:val="22"/>
          <w:szCs w:val="22"/>
        </w:rPr>
        <w:t xml:space="preserve">Yashraj Singh</w:t>
      </w:r>
    </w:p>
    <w:p>
      <w:pPr>
        <w:pStyle w:val="ListParagraph"/>
        <w:numPr>
          <w:ilvl w:val="0"/>
          <w:numId w:val="2"/>
        </w:numPr>
        <w:spacing w:after="100"/>
      </w:pPr>
      <w:r>
        <w:rPr>
          <w:rFonts w:ascii="Calibri" w:cs="Calibri" w:eastAsia="Calibri" w:hAnsi="Calibri"/>
          <w:sz w:val="22"/>
          <w:szCs w:val="22"/>
        </w:rPr>
        <w:t xml:space="preserve">Shivakarthik Kumar</w:t>
      </w:r>
    </w:p>
    <w:sectPr>
      <w:footerReference w:type="default" r:id="rId7"/>
      <w:pgSz w:w="12240" w:h="15840" w:orient="portrait"/>
      <w:pgMar w:top="619" w:right="619" w:bottom="850" w:left="619" w:header="432" w:footer="432" w:gutter="0"/>
      <w:pgBorders w:display="allPages" w:offsetFrom="page">
        <w:top w:val="single" w:color="000000" w:sz="4" w:space="24"/>
        <w:left w:val="single" w:color="000000" w:sz="4" w:space="24"/>
        <w:bottom w:val="single" w:color="000000" w:sz="4" w:space="24"/>
        <w:right w:val="single" w:color="000000"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Calibri" w:cs="Calibri" w:eastAsia="Calibri" w:hAnsi="Calibri"/>
        <w:sz w:val="20"/>
        <w:szCs w:val="20"/>
      </w:rPr>
      <w:t xml:space="preserve">Internal Use</w:t>
    </w:r>
  </w:p>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 Ver. &lt;1.0&gt;</w:t>
    </w:r>
  </w:p>
  <w:p>
    <w:pPr>
      <w:jc w:val="right"/>
    </w:pPr>
    <w:r>
      <w:drawing>
        <wp:inline distT="0" distB="0" distL="0" distR="0">
          <wp:extent cx="6477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7700" cy="33337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000000"/>
      <w:sz w:val="24"/>
      <w:szCs w:val="24"/>
    </w:rPr>
  </w:style>
  <w:style w:type="paragraph" w:styleId="Heading2">
    <w:name w:val="Heading 2"/>
    <w:basedOn w:val="Normal"/>
    <w:next w:val="Normal"/>
    <w:qFormat/>
    <w:pPr>
      <w:spacing w:after="120" w:before="200"/>
      <w:outlineLvl w:val="1"/>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0461e3128d3a11a45762e7535338b5950e2e9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d9b5485cba3545595d5a1c7a5e8dbd8cb5bd032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2026-06-19T10:52:21.899Z</dcterms:created>
  <dcterms:modified xsi:type="dcterms:W3CDTF">2026-06-19T10:52:21.900Z</dcterms:modified>
</cp:coreProperties>
</file>

<file path=docProps/custom.xml><?xml version="1.0" encoding="utf-8"?>
<Properties xmlns="http://schemas.openxmlformats.org/officeDocument/2006/custom-properties" xmlns:vt="http://schemas.openxmlformats.org/officeDocument/2006/docPropsVTypes"/>
</file>