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Calibri" w:hAnsi="Calibri"/>
          <w:b/>
          <w:color w:val="000000"/>
          <w:sz w:val="34"/>
        </w:rPr>
        <w:t>Evaluating a Parameter-Free Quantum Fidelity Kernel for Text Security Under Representation and Domain Shift</w:t>
      </w:r>
    </w:p>
    <w:p>
      <w:pPr>
        <w:spacing w:before="80" w:after="40"/>
      </w:pPr>
      <w:r>
        <w:rPr>
          <w:rFonts w:ascii="Calibri" w:hAnsi="Calibri"/>
          <w:b/>
          <w:sz w:val="21"/>
        </w:rPr>
        <w:t>Abstract</w:t>
      </w:r>
    </w:p>
    <w:p>
      <w:pPr>
        <w:spacing w:before="0" w:after="80" w:line="269" w:lineRule="auto"/>
      </w:pPr>
      <w:r>
        <w:rPr>
          <w:rFonts w:ascii="Calibri" w:hAnsi="Calibri"/>
          <w:color w:val="1E1E1E"/>
          <w:sz w:val="19"/>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20" w:line="269" w:lineRule="auto"/>
      </w:pPr>
      <w:r>
        <w:rPr>
          <w:rFonts w:ascii="Calibri" w:hAnsi="Calibri"/>
          <w:b/>
          <w:color w:val="000000"/>
          <w:sz w:val="19"/>
        </w:rPr>
        <w:t xml:space="preserve">Keywords: </w:t>
      </w:r>
      <w:r>
        <w:rPr>
          <w:rFonts w:ascii="Calibri" w:hAnsi="Calibri"/>
          <w:color w:val="1E1E1E"/>
          <w:sz w:val="19"/>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216"/>
            <w:shd w:fill="FFFFFF"/>
            <w:tcMar>
              <w:top w:w="100" w:type="dxa"/>
              <w:bottom w:w="100" w:type="dxa"/>
              <w:left w:w="140" w:type="dxa"/>
              <w:right w:w="140" w:type="dxa"/>
            </w:tcMar>
            <w:tcW w:w="9216" w:type="dxa"/>
            <w:tcBorders>
              <w:left w:val="single" w:sz="12" w:space="0" w:color="000000"/>
              <w:top w:val="single" w:sz="12" w:space="0" w:color="000000"/>
              <w:right w:val="single" w:sz="12" w:space="0" w:color="000000"/>
              <w:bottom w:val="single" w:sz="12" w:space="0" w:color="000000"/>
            </w:tcBorders>
          </w:tcPr>
          <w:p>
            <w:pPr>
              <w:spacing w:before="0" w:after="60"/>
            </w:pPr>
            <w:r>
              <w:rPr>
                <w:rFonts w:ascii="Calibri" w:hAnsi="Calibri"/>
                <w:b/>
                <w:color w:val="000000"/>
                <w:sz w:val="19"/>
              </w:rPr>
              <w:t>CORE SCIENTIFIC CONTRIBUTIONS</w:t>
              <w:br/>
            </w:r>
          </w:p>
          <w:p>
            <w:pPr>
              <w:spacing w:before="0" w:after="30" w:line="259" w:lineRule="auto"/>
            </w:pPr>
            <w:r>
              <w:rPr>
                <w:rFonts w:ascii="Calibri" w:hAnsi="Calibri"/>
                <w:color w:val="141414"/>
                <w:sz w:val="18"/>
              </w:rPr>
              <w:t>1. Establishes a leakage-free multi-dataset empirical benchmark evaluating parameter-free quantum fidelity kernels (cyclic ZZFeatureMap) against matched classical RBF kernels across 153,410 usable text records.</w:t>
            </w:r>
          </w:p>
          <w:p>
            <w:pPr>
              <w:spacing w:before="0" w:after="30" w:line="259" w:lineRule="auto"/>
            </w:pPr>
            <w:r>
              <w:rPr>
                <w:rFonts w:ascii="Calibri" w:hAnsi="Calibri"/>
                <w:color w:val="141414"/>
                <w:sz w:val="18"/>
              </w:rPr>
              <w:t>2. Implements a tripartite baseline hierarchy (Linear SVM, Matched/Tuned RBF SVM, QSVC) supported by an empirical audit of eight classical machine learning architectures across 10 computational seeds.</w:t>
            </w:r>
          </w:p>
          <w:p>
            <w:pPr>
              <w:spacing w:before="0" w:after="30" w:line="259" w:lineRule="auto"/>
            </w:pPr>
            <w:r>
              <w:rPr>
                <w:rFonts w:ascii="Calibri" w:hAnsi="Calibri"/>
                <w:color w:val="141414"/>
                <w:sz w:val="18"/>
              </w:rPr>
              <w:t>3. Formulates a formal Two One-Sided Tests (TOST) practical equivalence protocol (ε = 0.01) with non-parametric bootstrap confidence intervals and paired permutation tests.</w:t>
            </w:r>
          </w:p>
          <w:p>
            <w:pPr>
              <w:spacing w:before="0" w:after="30" w:line="259" w:lineRule="auto"/>
            </w:pPr>
            <w:r>
              <w:rPr>
                <w:rFonts w:ascii="Calibri" w:hAnsi="Calibri"/>
                <w:color w:val="141414"/>
                <w:sz w:val="18"/>
              </w:rPr>
              <w:t>4. Discovers representation primacy and geometric ranking inversions, demonstrating that upstream text representations alter relative quantum-vs-classical rankings by up to 52.88 percentage points.</w:t>
            </w:r>
          </w:p>
          <w:p>
            <w:pPr>
              <w:spacing w:before="0" w:after="30" w:line="259" w:lineRule="auto"/>
            </w:pPr>
            <w:r>
              <w:rPr>
                <w:rFonts w:ascii="Calibri" w:hAnsi="Calibri"/>
                <w:color w:val="141414"/>
                <w:sz w:val="18"/>
              </w:rPr>
              <w:t>5. Conducts the first cross-source out-of-distribution domain transfer evaluation (TREC 2007 -&gt; TREC 2005/2006) and quantifies statevector simulation execution and memory scaling limits.</w:t>
            </w:r>
          </w:p>
        </w:tc>
      </w:tr>
    </w:tbl>
    <w:p>
      <w:pPr>
        <w:spacing w:after="80"/>
      </w:pPr>
    </w:p>
    <w:p>
      <w:pPr>
        <w:keepNext/>
        <w:spacing w:before="280" w:after="60"/>
      </w:pPr>
      <w:r>
        <w:rPr>
          <w:rFonts w:ascii="Calibri" w:hAnsi="Calibri"/>
          <w:b/>
          <w:color w:val="000000"/>
          <w:sz w:val="26"/>
        </w:rPr>
        <w:t>1. Introduction</w:t>
      </w:r>
    </w:p>
    <w:p>
      <w:pPr>
        <w:keepNext/>
        <w:spacing w:before="200" w:after="40"/>
      </w:pPr>
      <w:r>
        <w:rPr>
          <w:rFonts w:ascii="Calibri" w:hAnsi="Calibri"/>
          <w:b/>
          <w:color w:val="000000"/>
          <w:sz w:val="22"/>
        </w:rPr>
        <w:t>1.1 Problem: Text-Based Social Engineering and Security Classification</w:t>
      </w:r>
    </w:p>
    <w:p>
      <w:pPr>
        <w:spacing w:before="0" w:after="80" w:line="269" w:lineRule="auto"/>
      </w:pPr>
      <w:r>
        <w:rPr>
          <w:rFonts w:ascii="Calibri" w:hAnsi="Calibri"/>
          <w:color w:val="1E1E1E"/>
          <w:sz w:val="19"/>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00" w:after="40"/>
      </w:pPr>
      <w:r>
        <w:rPr>
          <w:rFonts w:ascii="Calibri" w:hAnsi="Calibri"/>
          <w:b/>
          <w:color w:val="000000"/>
          <w:sz w:val="22"/>
        </w:rPr>
        <w:t>1.2 Motivation: The Gap in Applied QML Benchmarking</w:t>
      </w:r>
    </w:p>
    <w:p>
      <w:pPr>
        <w:spacing w:before="0" w:after="80" w:line="269" w:lineRule="auto"/>
      </w:pPr>
      <w:r>
        <w:rPr>
          <w:rFonts w:ascii="Calibri" w:hAnsi="Calibri"/>
          <w:color w:val="1E1E1E"/>
          <w:sz w:val="19"/>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20" w:after="40"/>
        <w:jc w:val="center"/>
      </w:pPr>
      <w:r>
        <w:drawing>
          <wp:inline xmlns:a="http://schemas.openxmlformats.org/drawingml/2006/main" xmlns:pic="http://schemas.openxmlformats.org/drawingml/2006/picture">
            <wp:extent cx="4389120" cy="2754071"/>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4389120" cy="2754071"/>
                    </a:xfrm>
                    <a:prstGeom prst="rect"/>
                  </pic:spPr>
                </pic:pic>
              </a:graphicData>
            </a:graphic>
          </wp:inline>
        </w:drawing>
      </w:r>
    </w:p>
    <w:p>
      <w:pPr>
        <w:keepNext/>
        <w:spacing w:after="120"/>
        <w:jc w:val="center"/>
      </w:pPr>
      <w:r>
        <w:rPr>
          <w:rFonts w:ascii="Calibri" w:hAnsi="Calibri"/>
          <w:color w:val="3C3C3C"/>
          <w:sz w:val="16"/>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00" w:after="40"/>
      </w:pPr>
      <w:r>
        <w:rPr>
          <w:rFonts w:ascii="Calibri" w:hAnsi="Calibri"/>
          <w:b/>
          <w:color w:val="000000"/>
          <w:sz w:val="22"/>
        </w:rPr>
        <w:t>1.3 Research Hypotheses (H1–H6)</w:t>
      </w:r>
    </w:p>
    <w:p>
      <w:pPr>
        <w:spacing w:before="0" w:after="80" w:line="269" w:lineRule="auto"/>
      </w:pPr>
      <w:r>
        <w:rPr>
          <w:rFonts w:ascii="Calibri" w:hAnsi="Calibri"/>
          <w:color w:val="1E1E1E"/>
          <w:sz w:val="19"/>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280" w:after="60"/>
      </w:pPr>
      <w:r>
        <w:rPr>
          <w:rFonts w:ascii="Calibri" w:hAnsi="Calibri"/>
          <w:b/>
          <w:color w:val="000000"/>
          <w:sz w:val="26"/>
        </w:rPr>
        <w:t>2. Related Work and Positioning</w:t>
      </w:r>
    </w:p>
    <w:p>
      <w:pPr>
        <w:spacing w:before="0" w:after="80" w:line="269" w:lineRule="auto"/>
      </w:pPr>
      <w:r>
        <w:rPr>
          <w:rFonts w:ascii="Calibri" w:hAnsi="Calibri"/>
          <w:color w:val="1E1E1E"/>
          <w:sz w:val="19"/>
        </w:rPr>
        <w:t>The closest prior work falls into several foundational groups: quantum kernel theory and speedups [1,16,18,20,23,32], expressivity and concentration phenomena [7,21,26,34,37], quantum natural language processing [9,14,15,24,28,35], applied QML for cybersecurity and threat detection [2,5,6,17,19,25,31,33], and classical text classification and distribution shift baselines [3,4,8,10,11,12,13,22,27,29,30,36,38]. Table 1 groups the literature by their primary focus and structural assumptions.</w:t>
      </w:r>
    </w:p>
    <w:p>
      <w:pPr>
        <w:keepNext/>
        <w:spacing w:before="160" w:after="40"/>
      </w:pPr>
      <w:r>
        <w:rPr>
          <w:rFonts w:ascii="Calibri" w:hAnsi="Calibri"/>
          <w:b/>
          <w:color w:val="000000"/>
          <w:sz w:val="18"/>
        </w:rPr>
        <w:t>Table 1: Literature Positioning and Methodological Taxonomy.</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2340"/>
        <w:gridCol w:w="2340"/>
        <w:gridCol w:w="2340"/>
        <w:gridCol w:w="2340"/>
      </w:tblGrid>
      <w:tr>
        <w:trPr>
          <w:cantSplit/>
          <w:tblHeader/>
        </w:trPr>
        <w:tc>
          <w:tcPr>
            <w:tcW w:type="dxa" w:w="1872"/>
            <w:shd w:fill="F2F2F2"/>
            <w:tcMar>
              <w:top w:w="50" w:type="dxa"/>
              <w:bottom w:w="50" w:type="dxa"/>
              <w:left w:w="50" w:type="dxa"/>
              <w:right w:w="50" w:type="dxa"/>
            </w:tcMar>
            <w:tcW w:w="1872" w:type="dxa"/>
          </w:tcPr>
          <w:p>
            <w:pPr>
              <w:spacing w:before="0" w:after="0"/>
              <w:jc w:val="left"/>
            </w:pPr>
            <w:r>
              <w:rPr>
                <w:rFonts w:ascii="Calibri" w:hAnsi="Calibri"/>
                <w:b/>
                <w:color w:val="000000"/>
                <w:sz w:val="16"/>
              </w:rPr>
              <w:t>Literature Category</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Core Mechanism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Representation Paradigm</w:t>
            </w:r>
          </w:p>
        </w:tc>
        <w:tc>
          <w:tcPr>
            <w:tcW w:type="dxa" w:w="2592"/>
            <w:shd w:fill="F2F2F2"/>
            <w:tcMar>
              <w:top w:w="50" w:type="dxa"/>
              <w:bottom w:w="50" w:type="dxa"/>
              <w:left w:w="50" w:type="dxa"/>
              <w:right w:w="50" w:type="dxa"/>
            </w:tcMar>
            <w:tcW w:w="2592" w:type="dxa"/>
          </w:tcPr>
          <w:p>
            <w:pPr>
              <w:spacing w:before="0" w:after="0"/>
              <w:jc w:val="center"/>
            </w:pPr>
            <w:r>
              <w:rPr>
                <w:rFonts w:ascii="Calibri" w:hAnsi="Calibri"/>
                <w:b/>
                <w:color w:val="000000"/>
                <w:sz w:val="16"/>
              </w:rPr>
              <w:t>Key Representative Venues</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Quantum Kernel Theory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Hilbert space mapping via unitary state preparation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Synthetic / Group-theoretic distributions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Nature '19 [18], PRL '19 [32], Nat Phys '21 [23], Nat Comm '21 [20], npj Quantum Inf '22 [16]</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Expressivity &amp; Concentration</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Theoretical bounds on fidelity concentration &amp; variance</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Global unparameterized statevectors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Nat Comm '24 [37], PRL '24 [7], NeurIPS '21 [21], IEEE TQE '22 [34], PRX Quantum '23 [26]</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Structural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Categorical DisCoCat grammars &amp; ZX-calculus</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Syntactic parse trees (N &lt; 500 sentences)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QNLP '20 [9], QST '21 [24]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Statistical &amp; Embedding QNLP</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Classical text embeddings fed to QSVC / VQC</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TF-IDF, Word2Vec, Pretrained Transformers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CMES '26 [28], IEEE TQE '24 [15], Access '23 [35], IEEE TQE '21 [14]</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Applied QML Cybersecurity</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Quantum classifiers applied to phishing/intrusion</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Tabular features / Small text splits (single seed)</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IEEE QPAIN '26 [19], MAKE '26 [6], ISACC '25 [33], QMI '22 [31], IEEE Access '23 [5], PRResearch '20 [25]</w:t>
            </w:r>
          </w:p>
        </w:tc>
      </w:tr>
      <w:tr>
        <w:trPr>
          <w:cantSplit/>
        </w:trPr>
        <w:tc>
          <w:tcPr>
            <w:tcW w:type="dxa" w:w="1872"/>
            <w:shd w:fill="FFFFFF"/>
            <w:tcMar>
              <w:top w:w="40" w:type="dxa"/>
              <w:bottom w:w="40" w:type="dxa"/>
              <w:left w:w="50" w:type="dxa"/>
              <w:right w:w="50" w:type="dxa"/>
            </w:tcMar>
            <w:tcW w:w="1872" w:type="dxa"/>
          </w:tcPr>
          <w:p>
            <w:pPr>
              <w:spacing w:before="0" w:after="0"/>
              <w:jc w:val="left"/>
            </w:pPr>
            <w:r>
              <w:rPr>
                <w:rFonts w:ascii="Calibri" w:hAnsi="Calibri"/>
                <w:color w:val="1E1E1E"/>
                <w:sz w:val="16"/>
              </w:rPr>
              <w:t>Multi-Dataset Benchmarking</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Controlled matched baselines across multiple corpora</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Sparse TF-IDF + Dense Contextual Embeddings</w:t>
            </w:r>
          </w:p>
        </w:tc>
        <w:tc>
          <w:tcPr>
            <w:tcW w:type="dxa" w:w="2592"/>
            <w:shd w:fill="FFFFFF"/>
            <w:tcMar>
              <w:top w:w="40" w:type="dxa"/>
              <w:bottom w:w="40" w:type="dxa"/>
              <w:left w:w="50" w:type="dxa"/>
              <w:right w:w="50" w:type="dxa"/>
            </w:tcMar>
            <w:tcW w:w="2592" w:type="dxa"/>
          </w:tcPr>
          <w:p>
            <w:pPr>
              <w:spacing w:before="0" w:after="0"/>
              <w:jc w:val="center"/>
            </w:pPr>
            <w:r>
              <w:rPr>
                <w:rFonts w:ascii="Calibri" w:hAnsi="Calibri"/>
                <w:color w:val="1E1E1E"/>
                <w:sz w:val="16"/>
              </w:rPr>
              <w:t>ACM TOPS '23 [4], TPAMI '26 [22], IEEE S&amp;P '22 [30], This Work (Exp 23–47)</w:t>
            </w:r>
          </w:p>
        </w:tc>
      </w:tr>
    </w:tbl>
    <w:p>
      <w:pPr>
        <w:spacing w:after="80"/>
      </w:pPr>
    </w:p>
    <w:p>
      <w:pPr>
        <w:spacing w:before="0" w:after="80" w:line="269" w:lineRule="auto"/>
      </w:pPr>
      <w:r>
        <w:rPr>
          <w:rFonts w:ascii="Calibri" w:hAnsi="Calibri"/>
          <w:color w:val="1E1E1E"/>
          <w:sz w:val="19"/>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280" w:after="60"/>
      </w:pPr>
      <w:r>
        <w:rPr>
          <w:rFonts w:ascii="Calibri" w:hAnsi="Calibri"/>
          <w:b/>
          <w:color w:val="000000"/>
          <w:sz w:val="26"/>
        </w:rPr>
        <w:t>3. Problem Formulation and Data Hygiene Audit</w:t>
      </w:r>
    </w:p>
    <w:p>
      <w:pPr>
        <w:keepNext/>
        <w:spacing w:before="200" w:after="40"/>
      </w:pPr>
      <w:r>
        <w:rPr>
          <w:rFonts w:ascii="Calibri" w:hAnsi="Calibri"/>
          <w:b/>
          <w:color w:val="000000"/>
          <w:sz w:val="22"/>
        </w:rPr>
        <w:t>3.1 Mathematical Formulation of Quantum and Classical Kernels</w:t>
      </w:r>
    </w:p>
    <w:p>
      <w:pPr>
        <w:spacing w:before="0" w:after="80" w:line="269" w:lineRule="auto"/>
      </w:pPr>
      <w:r>
        <w:rPr>
          <w:rFonts w:ascii="Calibri" w:hAnsi="Calibri"/>
          <w:color w:val="1E1E1E"/>
          <w:sz w:val="19"/>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00" w:after="40"/>
      </w:pPr>
      <w:r>
        <w:rPr>
          <w:rFonts w:ascii="Calibri" w:hAnsi="Calibri"/>
          <w:b/>
          <w:color w:val="000000"/>
          <w:sz w:val="22"/>
        </w:rPr>
        <w:t>3.2 Feature Space Geometry Metrics</w:t>
      </w:r>
    </w:p>
    <w:p>
      <w:pPr>
        <w:spacing w:before="0" w:after="80" w:line="269" w:lineRule="auto"/>
      </w:pPr>
      <w:r>
        <w:rPr>
          <w:rFonts w:ascii="Calibri" w:hAnsi="Calibri"/>
          <w:color w:val="1E1E1E"/>
          <w:sz w:val="19"/>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00" w:after="40"/>
      </w:pPr>
      <w:r>
        <w:rPr>
          <w:rFonts w:ascii="Calibri" w:hAnsi="Calibri"/>
          <w:b/>
          <w:color w:val="000000"/>
          <w:sz w:val="22"/>
        </w:rPr>
        <w:t>3.3 Eight-Point Data Hygiene and Causality Verification</w:t>
      </w:r>
    </w:p>
    <w:p>
      <w:pPr>
        <w:spacing w:before="0" w:after="80" w:line="269" w:lineRule="auto"/>
      </w:pPr>
      <w:r>
        <w:rPr>
          <w:rFonts w:ascii="Calibri" w:hAnsi="Calibri"/>
          <w:color w:val="1E1E1E"/>
          <w:sz w:val="19"/>
        </w:rPr>
        <w:t>To eliminate subtle sources of data leakage and ensure reproducibility, we ran the same eight data-hygiene checks across all models (Table 2).</w:t>
      </w:r>
    </w:p>
    <w:p>
      <w:pPr>
        <w:keepNext/>
        <w:spacing w:before="160" w:after="40"/>
      </w:pPr>
      <w:r>
        <w:rPr>
          <w:rFonts w:ascii="Calibri" w:hAnsi="Calibri"/>
          <w:b/>
          <w:color w:val="000000"/>
          <w:sz w:val="18"/>
        </w:rPr>
        <w:t>Table 2: Eight-Point Data Hygiene and Causality Verification Protocol.</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3120"/>
        <w:gridCol w:w="3120"/>
        <w:gridCol w:w="3120"/>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6"/>
              </w:rPr>
              <w:t>Audit Item</w:t>
            </w:r>
          </w:p>
        </w:tc>
        <w:tc>
          <w:tcPr>
            <w:tcW w:type="dxa" w:w="5760"/>
            <w:shd w:fill="F2F2F2"/>
            <w:tcMar>
              <w:top w:w="50" w:type="dxa"/>
              <w:bottom w:w="50" w:type="dxa"/>
              <w:left w:w="50" w:type="dxa"/>
              <w:right w:w="50" w:type="dxa"/>
            </w:tcMar>
            <w:tcW w:w="5760" w:type="dxa"/>
          </w:tcPr>
          <w:p>
            <w:pPr>
              <w:spacing w:before="0" w:after="0"/>
              <w:jc w:val="center"/>
            </w:pPr>
            <w:r>
              <w:rPr>
                <w:rFonts w:ascii="Calibri" w:hAnsi="Calibri"/>
                <w:b/>
                <w:color w:val="000000"/>
                <w:sz w:val="16"/>
              </w:rPr>
              <w:t>Verification Protocol &amp; Invariant</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6"/>
              </w:rPr>
              <w:t>Status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1. Candidate Sample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train, validation, and test arrays evaluated per seed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2. Target Label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Ground-truth positive/negative labels strictly identical across all models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3. Strict Preprocessing Isolation</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Tokenizers, TF-IDF vectorizers, and Scalers fitted strictly on training subsets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4. Dimensionality Projection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TruncatedSVD fitted exclusively on training data; identical vectors fed to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5. Threshold Selection Independence</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Decision thresholds τ ∈ [0.01, 0.99] tuned strictly on validation and applied to test</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6. Optimization Solver Parity</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Identical Dual QP objective, C=1.0, balanced class weights across RBF and QSVC</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7. Domain Holdout Blindness</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Zero source-domain labels or target adaptation flags provided during training</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6"/>
              </w:rPr>
              <w:t>8. Deterministic Seed Control</w:t>
            </w:r>
          </w:p>
        </w:tc>
        <w:tc>
          <w:tcPr>
            <w:tcW w:type="dxa" w:w="5760"/>
            <w:shd w:fill="FFFFFF"/>
            <w:tcMar>
              <w:top w:w="40" w:type="dxa"/>
              <w:bottom w:w="40" w:type="dxa"/>
              <w:left w:w="50" w:type="dxa"/>
              <w:right w:w="50" w:type="dxa"/>
            </w:tcMar>
            <w:tcW w:w="5760" w:type="dxa"/>
          </w:tcPr>
          <w:p>
            <w:pPr>
              <w:spacing w:before="0" w:after="0"/>
              <w:jc w:val="center"/>
            </w:pPr>
            <w:r>
              <w:rPr>
                <w:rFonts w:ascii="Calibri" w:hAnsi="Calibri"/>
                <w:color w:val="1E1E1E"/>
                <w:sz w:val="16"/>
              </w:rPr>
              <w:t>Exact PRNG seed suite S = {42, 123, ..., 2021} applied to all pipeline stages</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6"/>
              </w:rPr>
              <w:t>PASS</w:t>
            </w:r>
          </w:p>
        </w:tc>
      </w:tr>
    </w:tbl>
    <w:p>
      <w:pPr>
        <w:spacing w:after="80"/>
      </w:pPr>
    </w:p>
    <w:p>
      <w:pPr>
        <w:keepNext/>
        <w:spacing w:before="280" w:after="60"/>
      </w:pPr>
      <w:r>
        <w:rPr>
          <w:rFonts w:ascii="Calibri" w:hAnsi="Calibri"/>
          <w:b/>
          <w:color w:val="000000"/>
          <w:sz w:val="26"/>
        </w:rPr>
        <w:t>4. Benchmark Corpora and Accounting Hierarchy</w:t>
      </w:r>
    </w:p>
    <w:p>
      <w:pPr>
        <w:spacing w:before="0" w:after="80" w:line="269" w:lineRule="auto"/>
      </w:pPr>
      <w:r>
        <w:rPr>
          <w:rFonts w:ascii="Calibri" w:hAnsi="Calibri"/>
          <w:color w:val="1E1E1E"/>
          <w:sz w:val="19"/>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160" w:after="40"/>
      </w:pPr>
      <w:r>
        <w:rPr>
          <w:rFonts w:ascii="Calibri" w:hAnsi="Calibri"/>
          <w:b/>
          <w:color w:val="000000"/>
          <w:sz w:val="18"/>
        </w:rPr>
        <w:t>Table 3: Benchmark Corpus Characteristics, Accounting Tiers, and Split Partitions. Asterisk denotes controlled canonical experimental subsets.</w:t>
      </w:r>
    </w:p>
    <w:tbl>
      <w:tblPr>
        <w:tblW w:type="auto" w:w="0"/>
        <w:jc w:val="center"/>
        <w:tblLayout w:type="fixed"/>
        <w:tblLook w:firstColumn="1" w:firstRow="1" w:lastColumn="0" w:lastRow="0" w:noHBand="0" w:noVBand="1" w:val="04A0"/>
        <w:tblW w:w="9214"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170"/>
        <w:gridCol w:w="1170"/>
        <w:gridCol w:w="1170"/>
        <w:gridCol w:w="1170"/>
        <w:gridCol w:w="1170"/>
        <w:gridCol w:w="1170"/>
        <w:gridCol w:w="1170"/>
        <w:gridCol w:w="1170"/>
      </w:tblGrid>
      <w:tr>
        <w:trPr>
          <w:cantSplit/>
          <w:tblHeader/>
        </w:trPr>
        <w:tc>
          <w:tcPr>
            <w:tcW w:type="dxa" w:w="1440"/>
            <w:shd w:fill="F2F2F2"/>
            <w:tcMar>
              <w:top w:w="50" w:type="dxa"/>
              <w:bottom w:w="50" w:type="dxa"/>
              <w:left w:w="50" w:type="dxa"/>
              <w:right w:w="50" w:type="dxa"/>
            </w:tcMar>
            <w:tcW w:w="1440" w:type="dxa"/>
          </w:tcPr>
          <w:p>
            <w:pPr>
              <w:spacing w:before="0" w:after="0"/>
              <w:jc w:val="left"/>
            </w:pPr>
            <w:r>
              <w:rPr>
                <w:rFonts w:ascii="Calibri" w:hAnsi="Calibri"/>
                <w:b/>
                <w:color w:val="000000"/>
                <w:sz w:val="15"/>
              </w:rPr>
              <w:t>Corpus</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Raw Records</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Usable Cleaned</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Raw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Exp. Subset (N)</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5"/>
              </w:rPr>
              <w:t>Train / Val / Test</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5"/>
              </w:rPr>
              <w:t>Exp. Pos. %</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5"/>
              </w:rPr>
              <w:t>Source Domain</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SMS Spam</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5,574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3,343 / 1,114 / 1,115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13.41%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Single-source mobile [3]</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CEAS 2008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39,154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39,154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55.78%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18.90%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Phishing/Ham mix</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MeAJOR Archive</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108,685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108,684</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44.20%</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15,000*</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10,000 / 2,500 / 2,500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19.33%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Multi-source (TREC 5/6/7)</w:t>
            </w:r>
          </w:p>
        </w:tc>
      </w:tr>
      <w:tr>
        <w:trPr>
          <w:cantSplit/>
        </w:trPr>
        <w:tc>
          <w:tcPr>
            <w:tcW w:type="dxa" w:w="1440"/>
            <w:shd w:fill="FFFFFF"/>
            <w:tcMar>
              <w:top w:w="40" w:type="dxa"/>
              <w:bottom w:w="40" w:type="dxa"/>
              <w:left w:w="50" w:type="dxa"/>
              <w:right w:w="50" w:type="dxa"/>
            </w:tcMar>
            <w:tcW w:w="1440" w:type="dxa"/>
          </w:tcPr>
          <w:p>
            <w:pPr>
              <w:spacing w:before="0" w:after="0"/>
              <w:jc w:val="left"/>
            </w:pPr>
            <w:r>
              <w:rPr>
                <w:rFonts w:ascii="Calibri" w:hAnsi="Calibri"/>
                <w:color w:val="1E1E1E"/>
                <w:sz w:val="15"/>
              </w:rPr>
              <w:t>TOTAL</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153,413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153,410</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35,572</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5"/>
              </w:rPr>
              <w:t>23,343 / 6,114 / 6,115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5"/>
              </w:rPr>
              <w:t>—</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5"/>
              </w:rPr>
              <w:t>3 Audited Security Corpora</w:t>
            </w:r>
          </w:p>
        </w:tc>
      </w:tr>
    </w:tbl>
    <w:p>
      <w:pPr>
        <w:spacing w:after="80"/>
      </w:pPr>
    </w:p>
    <w:p>
      <w:pPr>
        <w:keepNext/>
        <w:spacing w:before="280" w:after="60"/>
      </w:pPr>
      <w:r>
        <w:rPr>
          <w:rFonts w:ascii="Calibri" w:hAnsi="Calibri"/>
          <w:b/>
          <w:color w:val="000000"/>
          <w:sz w:val="26"/>
        </w:rPr>
        <w:t>5. Experimental Evaluation and Results</w:t>
      </w:r>
    </w:p>
    <w:p>
      <w:pPr>
        <w:keepNext/>
        <w:spacing w:before="200" w:after="40"/>
      </w:pPr>
      <w:r>
        <w:rPr>
          <w:rFonts w:ascii="Calibri" w:hAnsi="Calibri"/>
          <w:b/>
          <w:color w:val="000000"/>
          <w:sz w:val="22"/>
        </w:rPr>
        <w:t>5.1 Complete Classical Baseline Audit across Eight Models (Result 0)</w:t>
      </w:r>
    </w:p>
    <w:p>
      <w:pPr>
        <w:spacing w:before="0" w:after="80" w:line="269" w:lineRule="auto"/>
      </w:pPr>
      <w:r>
        <w:rPr>
          <w:rFonts w:ascii="Calibri" w:hAnsi="Calibri"/>
          <w:color w:val="1E1E1E"/>
          <w:sz w:val="19"/>
        </w:rPr>
        <w:t>Table 4 presents the empirical audit of all eight classical machine learning models across the three corpora under both full 50,000-dimensional TF-IDF and matched 8D TruncatedSVD representations across 10 random seeds.</w:t>
      </w:r>
    </w:p>
    <w:p>
      <w:pPr>
        <w:keepNext/>
        <w:spacing w:before="160" w:after="40"/>
      </w:pPr>
      <w:r>
        <w:rPr>
          <w:rFonts w:ascii="Calibri" w:hAnsi="Calibri"/>
          <w:b/>
          <w:color w:val="000000"/>
          <w:sz w:val="18"/>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040"/>
        <w:gridCol w:w="1040"/>
        <w:gridCol w:w="1040"/>
        <w:gridCol w:w="1040"/>
        <w:gridCol w:w="1040"/>
        <w:gridCol w:w="1040"/>
        <w:gridCol w:w="1040"/>
        <w:gridCol w:w="1040"/>
        <w:gridCol w:w="1040"/>
      </w:tblGrid>
      <w:tr>
        <w:trPr>
          <w:cantSplit/>
          <w:tblHeader/>
        </w:trPr>
        <w:tc>
          <w:tcPr>
            <w:tcW w:type="dxa" w:w="1080"/>
            <w:shd w:fill="F2F2F2"/>
            <w:tcMar>
              <w:top w:w="50" w:type="dxa"/>
              <w:bottom w:w="50" w:type="dxa"/>
              <w:left w:w="50" w:type="dxa"/>
              <w:right w:w="50" w:type="dxa"/>
            </w:tcMar>
            <w:tcW w:w="1080" w:type="dxa"/>
          </w:tcPr>
          <w:p>
            <w:pPr>
              <w:spacing w:before="0" w:after="0"/>
              <w:jc w:val="left"/>
            </w:pPr>
            <w:r>
              <w:rPr>
                <w:rFonts w:ascii="Calibri" w:hAnsi="Calibri"/>
                <w:b/>
                <w:color w:val="000000"/>
                <w:sz w:val="14"/>
              </w:rPr>
              <w:t>Corpus</w:t>
            </w:r>
          </w:p>
        </w:tc>
        <w:tc>
          <w:tcPr>
            <w:tcW w:type="dxa" w:w="1656"/>
            <w:shd w:fill="F2F2F2"/>
            <w:tcMar>
              <w:top w:w="50" w:type="dxa"/>
              <w:bottom w:w="50" w:type="dxa"/>
              <w:left w:w="50" w:type="dxa"/>
              <w:right w:w="50" w:type="dxa"/>
            </w:tcMar>
            <w:tcW w:w="1655" w:type="dxa"/>
          </w:tcPr>
          <w:p>
            <w:pPr>
              <w:spacing w:before="0" w:after="0"/>
              <w:jc w:val="center"/>
            </w:pPr>
            <w:r>
              <w:rPr>
                <w:rFonts w:ascii="Calibri" w:hAnsi="Calibri"/>
                <w:b/>
                <w:color w:val="000000"/>
                <w:sz w:val="14"/>
              </w:rPr>
              <w:t>Model Architecture</w:t>
            </w:r>
          </w:p>
        </w:tc>
        <w:tc>
          <w:tcPr>
            <w:tcW w:type="dxa" w:w="936"/>
            <w:shd w:fill="F2F2F2"/>
            <w:tcMar>
              <w:top w:w="50" w:type="dxa"/>
              <w:bottom w:w="50" w:type="dxa"/>
              <w:left w:w="50" w:type="dxa"/>
              <w:right w:w="50" w:type="dxa"/>
            </w:tcMar>
            <w:tcW w:w="936" w:type="dxa"/>
          </w:tcPr>
          <w:p>
            <w:pPr>
              <w:spacing w:before="0" w:after="0"/>
              <w:jc w:val="center"/>
            </w:pPr>
            <w:r>
              <w:rPr>
                <w:rFonts w:ascii="Calibri" w:hAnsi="Calibri"/>
                <w:b/>
                <w:color w:val="000000"/>
                <w:sz w:val="14"/>
              </w:rPr>
              <w:t>Full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Full ROC</w:t>
            </w:r>
          </w:p>
        </w:tc>
        <w:tc>
          <w:tcPr>
            <w:tcW w:type="dxa" w:w="1080"/>
            <w:shd w:fill="F2F2F2"/>
            <w:tcMar>
              <w:top w:w="50" w:type="dxa"/>
              <w:bottom w:w="50" w:type="dxa"/>
              <w:left w:w="50" w:type="dxa"/>
              <w:right w:w="50" w:type="dxa"/>
            </w:tcMar>
            <w:tcW w:w="1080" w:type="dxa"/>
          </w:tcPr>
          <w:p>
            <w:pPr>
              <w:spacing w:before="0" w:after="0"/>
              <w:jc w:val="center"/>
            </w:pPr>
            <w:r>
              <w:rPr>
                <w:rFonts w:ascii="Calibri" w:hAnsi="Calibri"/>
                <w:b/>
                <w:color w:val="000000"/>
                <w:sz w:val="14"/>
              </w:rPr>
              <w:t>8D F1</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PR</w:t>
            </w:r>
          </w:p>
        </w:tc>
        <w:tc>
          <w:tcPr>
            <w:tcW w:type="dxa" w:w="792"/>
            <w:shd w:fill="F2F2F2"/>
            <w:tcMar>
              <w:top w:w="50" w:type="dxa"/>
              <w:bottom w:w="50" w:type="dxa"/>
              <w:left w:w="50" w:type="dxa"/>
              <w:right w:w="50" w:type="dxa"/>
            </w:tcMar>
            <w:tcW w:w="792" w:type="dxa"/>
          </w:tcPr>
          <w:p>
            <w:pPr>
              <w:spacing w:before="0" w:after="0"/>
              <w:jc w:val="center"/>
            </w:pPr>
            <w:r>
              <w:rPr>
                <w:rFonts w:ascii="Calibri" w:hAnsi="Calibri"/>
                <w:b/>
                <w:color w:val="000000"/>
                <w:sz w:val="14"/>
              </w:rPr>
              <w:t>8D ROC</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4"/>
              </w:rPr>
              <w:t>Train Time</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0.9931</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0.8273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0.9498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0.9927</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0.8156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0.8767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0.9793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1.53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0.8285 ± 0.011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5.20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0.9346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0.8226 ± 0.012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0.8900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0.9818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0.9423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0.8500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0.9239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0.90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0.9059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0.9477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0.9834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0.8452 ± 0.013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0.9276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0.9822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0.86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0.9324 ± 0.008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0.9781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0.8284 ± 0.014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0.8841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0.9158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0.8195 ± 0.007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0.8788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0.9675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SMS Spam</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0.6900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0.5903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0.7633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0.8401 ± 0.019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0.8802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0.9506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0.00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0.9535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0.9857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0.9998</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0.9638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57.15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0.9972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0.9691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185.2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0.9935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0.9505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0.26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0.9895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0.9816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1.76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0.9886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0.9810 ± 0.001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23.24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0.9966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0.9614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0.9888</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46.28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0.9928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0.9992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0.7165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0.9249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0.9091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CEAS 2008</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0.9957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0.9986</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0.9823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Linear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0.8448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0.18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Matched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0.9700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0.8709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0.9421</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0.9535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71.84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Tuned RBF SVM</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0.9734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0.9968</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0.9975</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0.8742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240.5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Logistic Regression</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0.9574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0.9935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0.9949</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0.8458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0.9315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0.9404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0.35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Random Forest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0.9516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0.9922</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0.9014 ± 0.006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0.9696</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0.9733</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2.16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XGBoost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0.9453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0.9005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0.9687</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0.9725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26.59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MLP Neural Net</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0.9727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0.9965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0.9973</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0.8795 ± 0.002</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0.9564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0.9624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42.12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Multinomial NB</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0.9481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0.9915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0.9924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0.7258 ± 0.005</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0.7870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0.8195</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0.01 s</w:t>
            </w:r>
          </w:p>
        </w:tc>
      </w:tr>
      <w:tr>
        <w:trPr>
          <w:cantSplit/>
        </w:trPr>
        <w:tc>
          <w:tcPr>
            <w:tcW w:type="dxa" w:w="1080"/>
            <w:shd w:fill="FFFFFF"/>
            <w:tcMar>
              <w:top w:w="40" w:type="dxa"/>
              <w:bottom w:w="40" w:type="dxa"/>
              <w:left w:w="50" w:type="dxa"/>
              <w:right w:w="50" w:type="dxa"/>
            </w:tcMar>
            <w:tcW w:w="1080" w:type="dxa"/>
          </w:tcPr>
          <w:p>
            <w:pPr>
              <w:spacing w:before="0" w:after="0"/>
              <w:jc w:val="left"/>
            </w:pPr>
            <w:r>
              <w:rPr>
                <w:rFonts w:ascii="Calibri" w:hAnsi="Calibri"/>
                <w:color w:val="1E1E1E"/>
                <w:sz w:val="14"/>
              </w:rPr>
              <w:t>MeAJOR</w:t>
            </w:r>
          </w:p>
        </w:tc>
        <w:tc>
          <w:tcPr>
            <w:tcW w:type="dxa" w:w="1656"/>
            <w:shd w:fill="FFFFFF"/>
            <w:tcMar>
              <w:top w:w="40" w:type="dxa"/>
              <w:bottom w:w="40" w:type="dxa"/>
              <w:left w:w="50" w:type="dxa"/>
              <w:right w:w="50" w:type="dxa"/>
            </w:tcMar>
            <w:tcW w:w="1655" w:type="dxa"/>
          </w:tcPr>
          <w:p>
            <w:pPr>
              <w:spacing w:before="0" w:after="0"/>
              <w:jc w:val="center"/>
            </w:pPr>
            <w:r>
              <w:rPr>
                <w:rFonts w:ascii="Calibri" w:hAnsi="Calibri"/>
                <w:color w:val="1E1E1E"/>
                <w:sz w:val="14"/>
              </w:rPr>
              <w:t>k-NN (k=5)</w:t>
            </w:r>
          </w:p>
        </w:tc>
        <w:tc>
          <w:tcPr>
            <w:tcW w:type="dxa" w:w="936"/>
            <w:shd w:fill="FFFFFF"/>
            <w:tcMar>
              <w:top w:w="40" w:type="dxa"/>
              <w:bottom w:w="40" w:type="dxa"/>
              <w:left w:w="50" w:type="dxa"/>
              <w:right w:w="50" w:type="dxa"/>
            </w:tcMar>
            <w:tcW w:w="936" w:type="dxa"/>
          </w:tcPr>
          <w:p>
            <w:pPr>
              <w:spacing w:before="0" w:after="0"/>
              <w:jc w:val="center"/>
            </w:pPr>
            <w:r>
              <w:rPr>
                <w:rFonts w:ascii="Calibri" w:hAnsi="Calibri"/>
                <w:color w:val="1E1E1E"/>
                <w:sz w:val="14"/>
              </w:rPr>
              <w:t>0.9532 ± 0.000</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0.9844</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0.9894</w:t>
            </w:r>
          </w:p>
        </w:tc>
        <w:tc>
          <w:tcPr>
            <w:tcW w:type="dxa" w:w="1080"/>
            <w:shd w:fill="FFFFFF"/>
            <w:tcMar>
              <w:top w:w="40" w:type="dxa"/>
              <w:bottom w:w="40" w:type="dxa"/>
              <w:left w:w="50" w:type="dxa"/>
              <w:right w:w="50" w:type="dxa"/>
            </w:tcMar>
            <w:tcW w:w="1080" w:type="dxa"/>
          </w:tcPr>
          <w:p>
            <w:pPr>
              <w:spacing w:before="0" w:after="0"/>
              <w:jc w:val="center"/>
            </w:pPr>
            <w:r>
              <w:rPr>
                <w:rFonts w:ascii="Calibri" w:hAnsi="Calibri"/>
                <w:color w:val="1E1E1E"/>
                <w:sz w:val="14"/>
              </w:rPr>
              <w:t>0.8870 ± 0.003</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0.9459</w:t>
            </w:r>
          </w:p>
        </w:tc>
        <w:tc>
          <w:tcPr>
            <w:tcW w:type="dxa" w:w="792"/>
            <w:shd w:fill="FFFFFF"/>
            <w:tcMar>
              <w:top w:w="40" w:type="dxa"/>
              <w:bottom w:w="40" w:type="dxa"/>
              <w:left w:w="50" w:type="dxa"/>
              <w:right w:w="50" w:type="dxa"/>
            </w:tcMar>
            <w:tcW w:w="792" w:type="dxa"/>
          </w:tcPr>
          <w:p>
            <w:pPr>
              <w:spacing w:before="0" w:after="0"/>
              <w:jc w:val="center"/>
            </w:pPr>
            <w:r>
              <w:rPr>
                <w:rFonts w:ascii="Calibri" w:hAnsi="Calibri"/>
                <w:color w:val="1E1E1E"/>
                <w:sz w:val="14"/>
              </w:rPr>
              <w:t>0.9581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4"/>
              </w:rPr>
              <w:t>0.02 s</w:t>
            </w:r>
          </w:p>
        </w:tc>
      </w:tr>
    </w:tbl>
    <w:p>
      <w:pPr>
        <w:spacing w:after="80"/>
      </w:pPr>
    </w:p>
    <w:p>
      <w:pPr>
        <w:spacing w:before="120" w:after="40"/>
        <w:jc w:val="center"/>
      </w:pPr>
      <w:r>
        <w:drawing>
          <wp:inline xmlns:a="http://schemas.openxmlformats.org/drawingml/2006/main" xmlns:pic="http://schemas.openxmlformats.org/drawingml/2006/picture">
            <wp:extent cx="4389120" cy="2144698"/>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4389120" cy="2144698"/>
                    </a:xfrm>
                    <a:prstGeom prst="rect"/>
                  </pic:spPr>
                </pic:pic>
              </a:graphicData>
            </a:graphic>
          </wp:inline>
        </w:drawing>
      </w:r>
    </w:p>
    <w:p>
      <w:pPr>
        <w:keepNext/>
        <w:spacing w:after="120"/>
        <w:jc w:val="center"/>
      </w:pPr>
      <w:r>
        <w:rPr>
          <w:rFonts w:ascii="Calibri" w:hAnsi="Calibri"/>
          <w:color w:val="3C3C3C"/>
          <w:sz w:val="16"/>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00" w:after="40"/>
      </w:pPr>
      <w:r>
        <w:rPr>
          <w:rFonts w:ascii="Calibri" w:hAnsi="Calibri"/>
          <w:b/>
          <w:color w:val="000000"/>
          <w:sz w:val="22"/>
        </w:rPr>
        <w:t>5.2 In-Distribution Model Comparison &amp; TOST Practical Equivalence (Result 1)</w:t>
      </w:r>
    </w:p>
    <w:p>
      <w:pPr>
        <w:spacing w:before="0" w:after="80" w:line="269" w:lineRule="auto"/>
      </w:pPr>
      <w:r>
        <w:rPr>
          <w:rFonts w:ascii="Calibri" w:hAnsi="Calibri"/>
          <w:color w:val="1E1E1E"/>
          <w:sz w:val="19"/>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160" w:after="40"/>
      </w:pPr>
      <w:r>
        <w:rPr>
          <w:rFonts w:ascii="Calibri" w:hAnsi="Calibri"/>
          <w:b/>
          <w:color w:val="000000"/>
          <w:sz w:val="18"/>
        </w:rPr>
        <w:t>Table 5: Canonical In-Distribution Model Comparison on MeAJOR (Matched 8D SVD, N=10 Seeds).</w:t>
      </w:r>
    </w:p>
    <w:tbl>
      <w:tblPr>
        <w:tblW w:type="auto" w:w="0"/>
        <w:jc w:val="center"/>
        <w:tblLayout w:type="fixed"/>
        <w:tblLook w:firstColumn="1" w:firstRow="1" w:lastColumn="0" w:lastRow="0" w:noHBand="0" w:noVBand="1" w:val="04A0"/>
        <w:tblW w:w="9212"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2736"/>
            <w:shd w:fill="F2F2F2"/>
            <w:tcMar>
              <w:top w:w="50" w:type="dxa"/>
              <w:bottom w:w="50" w:type="dxa"/>
              <w:left w:w="50" w:type="dxa"/>
              <w:right w:w="50" w:type="dxa"/>
            </w:tcMar>
            <w:tcW w:w="2736" w:type="dxa"/>
          </w:tcPr>
          <w:p>
            <w:pPr>
              <w:spacing w:before="0" w:after="0"/>
              <w:jc w:val="left"/>
            </w:pPr>
            <w:r>
              <w:rPr>
                <w:rFonts w:ascii="Calibri" w:hAnsi="Calibri"/>
                <w:b/>
                <w:color w:val="000000"/>
                <w:sz w:val="16"/>
              </w:rPr>
              <w:t>Model Architecture</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Test F1 (Mean ± SD)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PR-AUC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ROC-AUC</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6"/>
              </w:rPr>
              <w:t>Accuracy</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6"/>
              </w:rPr>
              <w:t>TOST Status (ε=0.01)</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Linear SVM (Matched 8D SVD)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0.8445 ± 0.0022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0.9400</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Linear Baseline</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Matched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0.8709 ± 0.0030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0.9423</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0.9535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0.9504</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Matched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Classical Tuned RBF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0.8742 ± 0.0028</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0.9450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0.9560</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0.9518</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Tuned Comparator</w:t>
            </w:r>
          </w:p>
        </w:tc>
      </w:tr>
      <w:tr>
        <w:trPr>
          <w:cantSplit/>
        </w:trPr>
        <w:tc>
          <w:tcPr>
            <w:tcW w:type="dxa" w:w="2736"/>
            <w:shd w:fill="FFFFFF"/>
            <w:tcMar>
              <w:top w:w="40" w:type="dxa"/>
              <w:bottom w:w="40" w:type="dxa"/>
              <w:left w:w="50" w:type="dxa"/>
              <w:right w:w="50" w:type="dxa"/>
            </w:tcMar>
            <w:tcW w:w="2736" w:type="dxa"/>
          </w:tcPr>
          <w:p>
            <w:pPr>
              <w:spacing w:before="0" w:after="0"/>
              <w:jc w:val="left"/>
            </w:pPr>
            <w:r>
              <w:rPr>
                <w:rFonts w:ascii="Calibri" w:hAnsi="Calibri"/>
                <w:color w:val="1E1E1E"/>
                <w:sz w:val="16"/>
              </w:rPr>
              <w:t>Quantum Fidelity Kernel (8D)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0.8754 ± 0.0029</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0.9372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0.9515</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6"/>
              </w:rPr>
              <w:t>0.9523</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6"/>
              </w:rPr>
              <w:t>Practically Equivalent</w:t>
            </w:r>
          </w:p>
        </w:tc>
      </w:tr>
    </w:tbl>
    <w:p>
      <w:pPr>
        <w:spacing w:after="80"/>
      </w:pPr>
    </w:p>
    <w:p>
      <w:pPr>
        <w:keepNext/>
        <w:spacing w:before="200" w:after="40"/>
      </w:pPr>
      <w:r>
        <w:rPr>
          <w:rFonts w:ascii="Calibri" w:hAnsi="Calibri"/>
          <w:b/>
          <w:color w:val="000000"/>
          <w:sz w:val="22"/>
        </w:rPr>
        <w:t>5.3 Dimensionality Scaling Trajectory: d in [2, 12] (Result 2)</w:t>
      </w:r>
    </w:p>
    <w:p>
      <w:pPr>
        <w:spacing w:before="0" w:after="80" w:line="269" w:lineRule="auto"/>
      </w:pPr>
      <w:r>
        <w:rPr>
          <w:rFonts w:ascii="Calibri" w:hAnsi="Calibri"/>
          <w:color w:val="1E1E1E"/>
          <w:sz w:val="19"/>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160" w:after="40"/>
      </w:pPr>
      <w:r>
        <w:rPr>
          <w:rFonts w:ascii="Calibri" w:hAnsi="Calibri"/>
          <w:b/>
          <w:color w:val="000000"/>
          <w:sz w:val="18"/>
        </w:rPr>
        <w:t>Table 6: Dimensionality Scaling Profile on MeAJOR IID (N=10 Seeds).</w:t>
      </w:r>
    </w:p>
    <w:tbl>
      <w:tblPr>
        <w:tblW w:type="auto" w:w="0"/>
        <w:jc w:val="center"/>
        <w:tblLayout w:type="fixed"/>
        <w:tblLook w:firstColumn="1" w:firstRow="1" w:lastColumn="0" w:lastRow="0" w:noHBand="0" w:noVBand="1" w:val="04A0"/>
        <w:tblW w:w="9215"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864"/>
            <w:shd w:fill="F2F2F2"/>
            <w:tcMar>
              <w:top w:w="50" w:type="dxa"/>
              <w:bottom w:w="50" w:type="dxa"/>
              <w:left w:w="50" w:type="dxa"/>
              <w:right w:w="50" w:type="dxa"/>
            </w:tcMar>
            <w:tcW w:w="864" w:type="dxa"/>
          </w:tcPr>
          <w:p>
            <w:pPr>
              <w:spacing w:before="0" w:after="0"/>
              <w:jc w:val="left"/>
            </w:pPr>
            <w:r>
              <w:rPr>
                <w:rFonts w:ascii="Calibri" w:hAnsi="Calibri"/>
                <w:b/>
                <w:color w:val="000000"/>
                <w:sz w:val="15"/>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Quantum F1</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Classical RBF</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5"/>
              </w:rPr>
              <w:t>Tuned RBF</w:t>
            </w:r>
          </w:p>
        </w:tc>
        <w:tc>
          <w:tcPr>
            <w:tcW w:type="dxa" w:w="1728"/>
            <w:shd w:fill="F2F2F2"/>
            <w:tcMar>
              <w:top w:w="50" w:type="dxa"/>
              <w:bottom w:w="50" w:type="dxa"/>
              <w:left w:w="50" w:type="dxa"/>
              <w:right w:w="50" w:type="dxa"/>
            </w:tcMar>
            <w:tcW w:w="1728" w:type="dxa"/>
          </w:tcPr>
          <w:p>
            <w:pPr>
              <w:spacing w:before="0" w:after="0"/>
              <w:jc w:val="center"/>
            </w:pPr>
            <w:r>
              <w:rPr>
                <w:rFonts w:ascii="Calibri" w:hAnsi="Calibri"/>
                <w:b/>
                <w:color w:val="000000"/>
                <w:sz w:val="15"/>
              </w:rPr>
              <w:t>Paired ΔF1 (Q - Matched)</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Permutation p</w:t>
            </w:r>
          </w:p>
        </w:tc>
        <w:tc>
          <w:tcPr>
            <w:tcW w:type="dxa" w:w="1296"/>
            <w:shd w:fill="F2F2F2"/>
            <w:tcMar>
              <w:top w:w="50" w:type="dxa"/>
              <w:bottom w:w="50" w:type="dxa"/>
              <w:left w:w="50" w:type="dxa"/>
              <w:right w:w="50" w:type="dxa"/>
            </w:tcMar>
            <w:tcW w:w="1296" w:type="dxa"/>
          </w:tcPr>
          <w:p>
            <w:pPr>
              <w:spacing w:before="0" w:after="0"/>
              <w:jc w:val="center"/>
            </w:pPr>
            <w:r>
              <w:rPr>
                <w:rFonts w:ascii="Calibri" w:hAnsi="Calibri"/>
                <w:b/>
                <w:color w:val="000000"/>
                <w:sz w:val="15"/>
              </w:rPr>
              <w:t>TOST Status</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0.6447 ± 0.0038</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0.6735 ± 0.0031</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0.6780 ± 0.0029</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-0.0288 (-2.88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&lt; 0.001</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Classical Superior</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4D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0.7876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0.7918 ± 0.0025</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0.7954 ± 0.0024</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-0.0042 (-0.42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0.0180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6D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0.8253 ± 0.0026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0.8254 ± 0.0022</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0.8291 ± 0.0021</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-0.0001 (-0.01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0.9410</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8D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0.8754 ± 0.0029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0.8709 ± 0.0030</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0.8742 ± 0.0028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+0.0046 (+0.46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0.0016</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10D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0.9023 ± 0.0034</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0.8967 ± 0.0049</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0.9015 ± 0.0038</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+0.0057 (+0.57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0.0052</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Equivalent (ε=0.01)</w:t>
            </w:r>
          </w:p>
        </w:tc>
      </w:tr>
      <w:tr>
        <w:trPr>
          <w:cantSplit/>
        </w:trPr>
        <w:tc>
          <w:tcPr>
            <w:tcW w:type="dxa" w:w="864"/>
            <w:shd w:fill="FFFFFF"/>
            <w:tcMar>
              <w:top w:w="40" w:type="dxa"/>
              <w:bottom w:w="40" w:type="dxa"/>
              <w:left w:w="50" w:type="dxa"/>
              <w:right w:w="50" w:type="dxa"/>
            </w:tcMar>
            <w:tcW w:w="864" w:type="dxa"/>
          </w:tcPr>
          <w:p>
            <w:pPr>
              <w:spacing w:before="0" w:after="0"/>
              <w:jc w:val="left"/>
            </w:pPr>
            <w:r>
              <w:rPr>
                <w:rFonts w:ascii="Calibri" w:hAnsi="Calibri"/>
                <w:color w:val="1E1E1E"/>
                <w:sz w:val="15"/>
              </w:rPr>
              <w:t>12D</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0.9137 ± 0.0046</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0.9123 ± 0.0023</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5"/>
              </w:rPr>
              <w:t>0.9148 ± 0.0020</w:t>
            </w:r>
          </w:p>
        </w:tc>
        <w:tc>
          <w:tcPr>
            <w:tcW w:type="dxa" w:w="1728"/>
            <w:shd w:fill="FFFFFF"/>
            <w:tcMar>
              <w:top w:w="40" w:type="dxa"/>
              <w:bottom w:w="40" w:type="dxa"/>
              <w:left w:w="50" w:type="dxa"/>
              <w:right w:w="50" w:type="dxa"/>
            </w:tcMar>
            <w:tcW w:w="1728" w:type="dxa"/>
          </w:tcPr>
          <w:p>
            <w:pPr>
              <w:spacing w:before="0" w:after="0"/>
              <w:jc w:val="center"/>
            </w:pPr>
            <w:r>
              <w:rPr>
                <w:rFonts w:ascii="Calibri" w:hAnsi="Calibri"/>
                <w:color w:val="1E1E1E"/>
                <w:sz w:val="15"/>
              </w:rPr>
              <w:t>+0.0014 (+0.14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p = 0.2824</w:t>
            </w:r>
          </w:p>
        </w:tc>
        <w:tc>
          <w:tcPr>
            <w:tcW w:type="dxa" w:w="1296"/>
            <w:shd w:fill="FFFFFF"/>
            <w:tcMar>
              <w:top w:w="40" w:type="dxa"/>
              <w:bottom w:w="40" w:type="dxa"/>
              <w:left w:w="50" w:type="dxa"/>
              <w:right w:w="50" w:type="dxa"/>
            </w:tcMar>
            <w:tcW w:w="1296" w:type="dxa"/>
          </w:tcPr>
          <w:p>
            <w:pPr>
              <w:spacing w:before="0" w:after="0"/>
              <w:jc w:val="center"/>
            </w:pPr>
            <w:r>
              <w:rPr>
                <w:rFonts w:ascii="Calibri" w:hAnsi="Calibri"/>
                <w:color w:val="1E1E1E"/>
                <w:sz w:val="15"/>
              </w:rPr>
              <w:t>Strict Parity (ε=0.005)</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3: In-Distribution Dimensionality Scaling Trajectory (2D to 12D) on MeAJOR. Mean test F1 across 10 computational seeds with 95% bootstrap confidence bands.</w:t>
      </w:r>
    </w:p>
    <w:p>
      <w:pPr>
        <w:spacing w:before="120" w:after="40"/>
        <w:jc w:val="center"/>
      </w:pPr>
      <w:r>
        <w:drawing>
          <wp:inline xmlns:a="http://schemas.openxmlformats.org/drawingml/2006/main" xmlns:pic="http://schemas.openxmlformats.org/drawingml/2006/picture">
            <wp:extent cx="4389120" cy="3135086"/>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4: Paired Quantum Minus Classical RBF Difference (ΔF1) vs Dimensionality with Pre-Registered Practical Equivalence Zone (ε = ±0.01). Shaded region denotes the practical equivalence boundary.</w:t>
      </w:r>
    </w:p>
    <w:p>
      <w:pPr>
        <w:keepNext/>
        <w:spacing w:before="200" w:after="40"/>
      </w:pPr>
      <w:r>
        <w:rPr>
          <w:rFonts w:ascii="Calibri" w:hAnsi="Calibri"/>
          <w:b/>
          <w:color w:val="000000"/>
          <w:sz w:val="22"/>
        </w:rPr>
        <w:t>5.4 Upstream Representation Screening &amp; Ranking Inversions (Result 3)</w:t>
      </w:r>
    </w:p>
    <w:p>
      <w:pPr>
        <w:spacing w:before="0" w:after="80" w:line="269" w:lineRule="auto"/>
      </w:pPr>
      <w:r>
        <w:rPr>
          <w:rFonts w:ascii="Calibri" w:hAnsi="Calibri"/>
          <w:color w:val="1E1E1E"/>
          <w:sz w:val="19"/>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160" w:after="40"/>
      </w:pPr>
      <w:r>
        <w:rPr>
          <w:rFonts w:ascii="Calibri" w:hAnsi="Calibri"/>
          <w:b/>
          <w:color w:val="000000"/>
          <w:sz w:val="18"/>
        </w:rPr>
        <w:t>Table 7: Upstream Representation Screening and Ranking Reversals on CEAS 2008 and SMS Spam.</w:t>
      </w:r>
    </w:p>
    <w:tbl>
      <w:tblPr>
        <w:tblW w:type="auto" w:w="0"/>
        <w:jc w:val="center"/>
        <w:tblLayout w:type="fixed"/>
        <w:tblLook w:firstColumn="1" w:firstRow="1" w:lastColumn="0" w:lastRow="0" w:noHBand="0" w:noVBand="1" w:val="04A0"/>
        <w:tblW w:w="9213"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368"/>
            <w:shd w:fill="F2F2F2"/>
            <w:tcMar>
              <w:top w:w="50" w:type="dxa"/>
              <w:bottom w:w="50" w:type="dxa"/>
              <w:left w:w="50" w:type="dxa"/>
              <w:right w:w="50" w:type="dxa"/>
            </w:tcMar>
            <w:tcW w:w="1368" w:type="dxa"/>
          </w:tcPr>
          <w:p>
            <w:pPr>
              <w:spacing w:before="0" w:after="0"/>
              <w:jc w:val="left"/>
            </w:pPr>
            <w:r>
              <w:rPr>
                <w:rFonts w:ascii="Calibri" w:hAnsi="Calibri"/>
                <w:b/>
                <w:color w:val="000000"/>
                <w:sz w:val="15"/>
              </w:rPr>
              <w:t>Corpus</w:t>
            </w:r>
          </w:p>
        </w:tc>
        <w:tc>
          <w:tcPr>
            <w:tcW w:type="dxa" w:w="2448"/>
            <w:shd w:fill="F2F2F2"/>
            <w:tcMar>
              <w:top w:w="50" w:type="dxa"/>
              <w:bottom w:w="50" w:type="dxa"/>
              <w:left w:w="50" w:type="dxa"/>
              <w:right w:w="50" w:type="dxa"/>
            </w:tcMar>
            <w:tcW w:w="2448" w:type="dxa"/>
          </w:tcPr>
          <w:p>
            <w:pPr>
              <w:spacing w:before="0" w:after="0"/>
              <w:jc w:val="center"/>
            </w:pPr>
            <w:r>
              <w:rPr>
                <w:rFonts w:ascii="Calibri" w:hAnsi="Calibri"/>
                <w:b/>
                <w:color w:val="000000"/>
                <w:sz w:val="15"/>
              </w:rPr>
              <w:t>Upstream Text Representation</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Quantum F1</w:t>
            </w:r>
          </w:p>
        </w:tc>
        <w:tc>
          <w:tcPr>
            <w:tcW w:type="dxa" w:w="1008"/>
            <w:shd w:fill="F2F2F2"/>
            <w:tcMar>
              <w:top w:w="50" w:type="dxa"/>
              <w:bottom w:w="50" w:type="dxa"/>
              <w:left w:w="50" w:type="dxa"/>
              <w:right w:w="50" w:type="dxa"/>
            </w:tcMar>
            <w:tcW w:w="1007" w:type="dxa"/>
          </w:tcPr>
          <w:p>
            <w:pPr>
              <w:spacing w:before="0" w:after="0"/>
              <w:jc w:val="center"/>
            </w:pPr>
            <w:r>
              <w:rPr>
                <w:rFonts w:ascii="Calibri" w:hAnsi="Calibri"/>
                <w:b/>
                <w:color w:val="000000"/>
                <w:sz w:val="15"/>
              </w:rPr>
              <w:t>Classical RBF F1</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5"/>
              </w:rPr>
              <w:t>Paired Difference (Q - RBF)</w:t>
            </w:r>
          </w:p>
        </w:tc>
        <w:tc>
          <w:tcPr>
            <w:tcW w:type="dxa" w:w="2016"/>
            <w:shd w:fill="F2F2F2"/>
            <w:tcMar>
              <w:top w:w="50" w:type="dxa"/>
              <w:bottom w:w="50" w:type="dxa"/>
              <w:left w:w="50" w:type="dxa"/>
              <w:right w:w="50" w:type="dxa"/>
            </w:tcMar>
            <w:tcW w:w="2015" w:type="dxa"/>
          </w:tcPr>
          <w:p>
            <w:pPr>
              <w:spacing w:before="0" w:after="0"/>
              <w:jc w:val="center"/>
            </w:pPr>
            <w:r>
              <w:rPr>
                <w:rFonts w:ascii="Calibri" w:hAnsi="Calibri"/>
                <w:b/>
                <w:color w:val="000000"/>
                <w:sz w:val="15"/>
              </w:rPr>
              <w:t>Representation Impact</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0.9736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0.9641</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+0.0095 (+0.95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Modest non-linear quantum expansion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RoBERTa-base (768D -&gt; 8D)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0.9601</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0.9896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-0.0295 (-2.95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exploits Euclidean clustering</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CEAS 2008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NET REPRESENTATION SHIFT</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-1.35 pp</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+2.55 pp</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-3.90 pp Shift</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Complete Ranking Inversion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Sparse TF-IDF + TruncatedSVD</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0.6324</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0.8276</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-0.1952 (-19.52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RBF superior on sparse projections</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all-MiniLM-L6-v2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0.7707</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0.7930</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-0.0223 (-2.23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Moderate gap reduction</w:t>
            </w:r>
          </w:p>
        </w:tc>
      </w:tr>
      <w:tr>
        <w:trPr>
          <w:cantSplit/>
        </w:trPr>
        <w:tc>
          <w:tcPr>
            <w:tcW w:type="dxa" w:w="1368"/>
            <w:shd w:fill="FFFFFF"/>
            <w:tcMar>
              <w:top w:w="40" w:type="dxa"/>
              <w:bottom w:w="40" w:type="dxa"/>
              <w:left w:w="50" w:type="dxa"/>
              <w:right w:w="50" w:type="dxa"/>
            </w:tcMar>
            <w:tcW w:w="1368" w:type="dxa"/>
          </w:tcPr>
          <w:p>
            <w:pPr>
              <w:spacing w:before="0" w:after="0"/>
              <w:jc w:val="left"/>
            </w:pPr>
            <w:r>
              <w:rPr>
                <w:rFonts w:ascii="Calibri" w:hAnsi="Calibri"/>
                <w:color w:val="1E1E1E"/>
                <w:sz w:val="15"/>
              </w:rPr>
              <w:t>SMS Spam (8D)</w:t>
            </w:r>
          </w:p>
        </w:tc>
        <w:tc>
          <w:tcPr>
            <w:tcW w:type="dxa" w:w="2448"/>
            <w:shd w:fill="FFFFFF"/>
            <w:tcMar>
              <w:top w:w="40" w:type="dxa"/>
              <w:bottom w:w="40" w:type="dxa"/>
              <w:left w:w="50" w:type="dxa"/>
              <w:right w:w="50" w:type="dxa"/>
            </w:tcMar>
            <w:tcW w:w="2448" w:type="dxa"/>
          </w:tcPr>
          <w:p>
            <w:pPr>
              <w:spacing w:before="0" w:after="0"/>
              <w:jc w:val="center"/>
            </w:pPr>
            <w:r>
              <w:rPr>
                <w:rFonts w:ascii="Calibri" w:hAnsi="Calibri"/>
                <w:color w:val="1E1E1E"/>
                <w:sz w:val="15"/>
              </w:rPr>
              <w:t>Dense all-mpnet-base-v2</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0.3756</w:t>
            </w:r>
          </w:p>
        </w:tc>
        <w:tc>
          <w:tcPr>
            <w:tcW w:type="dxa" w:w="1008"/>
            <w:shd w:fill="FFFFFF"/>
            <w:tcMar>
              <w:top w:w="40" w:type="dxa"/>
              <w:bottom w:w="40" w:type="dxa"/>
              <w:left w:w="50" w:type="dxa"/>
              <w:right w:w="50" w:type="dxa"/>
            </w:tcMar>
            <w:tcW w:w="1007" w:type="dxa"/>
          </w:tcPr>
          <w:p>
            <w:pPr>
              <w:spacing w:before="0" w:after="0"/>
              <w:jc w:val="center"/>
            </w:pPr>
            <w:r>
              <w:rPr>
                <w:rFonts w:ascii="Calibri" w:hAnsi="Calibri"/>
                <w:color w:val="1E1E1E"/>
                <w:sz w:val="15"/>
              </w:rPr>
              <w:t>0.9045</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5"/>
              </w:rPr>
              <w:t>-0.5288 (-52.88 pp)</w:t>
            </w:r>
          </w:p>
        </w:tc>
        <w:tc>
          <w:tcPr>
            <w:tcW w:type="dxa" w:w="2016"/>
            <w:shd w:fill="FFFFFF"/>
            <w:tcMar>
              <w:top w:w="40" w:type="dxa"/>
              <w:bottom w:w="40" w:type="dxa"/>
              <w:left w:w="50" w:type="dxa"/>
              <w:right w:w="50" w:type="dxa"/>
            </w:tcMar>
            <w:tcW w:w="2015" w:type="dxa"/>
          </w:tcPr>
          <w:p>
            <w:pPr>
              <w:spacing w:before="0" w:after="0"/>
              <w:jc w:val="center"/>
            </w:pPr>
            <w:r>
              <w:rPr>
                <w:rFonts w:ascii="Calibri" w:hAnsi="Calibri"/>
                <w:color w:val="1E1E1E"/>
                <w:sz w:val="15"/>
              </w:rPr>
              <w:t>Catastrophic Phase-Wrapping Collapse</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00" w:after="40"/>
      </w:pPr>
      <w:r>
        <w:rPr>
          <w:rFonts w:ascii="Calibri" w:hAnsi="Calibri"/>
          <w:b/>
          <w:color w:val="000000"/>
          <w:sz w:val="22"/>
        </w:rPr>
        <w:t>5.5 Cross-Source Domain Shift Generalization: TREC 2007 -&gt; TREC 2005/2006 (Result 4)</w:t>
      </w:r>
    </w:p>
    <w:p>
      <w:pPr>
        <w:spacing w:before="0" w:after="80" w:line="269" w:lineRule="auto"/>
      </w:pPr>
      <w:r>
        <w:rPr>
          <w:rFonts w:ascii="Calibri" w:hAnsi="Calibri"/>
          <w:color w:val="1E1E1E"/>
          <w:sz w:val="19"/>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160" w:after="40"/>
      </w:pPr>
      <w:r>
        <w:rPr>
          <w:rFonts w:ascii="Calibri" w:hAnsi="Calibri"/>
          <w:b/>
          <w:color w:val="000000"/>
          <w:sz w:val="18"/>
        </w:rPr>
        <w:t>Table 8: Cross-Source Domain Holdout Performance (MeAJOR Direction B, N=10 Seeds).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337"/>
        <w:gridCol w:w="1337"/>
        <w:gridCol w:w="1337"/>
        <w:gridCol w:w="1337"/>
        <w:gridCol w:w="1337"/>
        <w:gridCol w:w="1337"/>
        <w:gridCol w:w="1337"/>
      </w:tblGrid>
      <w:tr>
        <w:trPr>
          <w:cantSplit/>
          <w:tblHeader/>
        </w:trPr>
        <w:tc>
          <w:tcPr>
            <w:tcW w:type="dxa" w:w="2304"/>
            <w:shd w:fill="F2F2F2"/>
            <w:tcMar>
              <w:top w:w="50" w:type="dxa"/>
              <w:bottom w:w="50" w:type="dxa"/>
              <w:left w:w="50" w:type="dxa"/>
              <w:right w:w="50" w:type="dxa"/>
            </w:tcMar>
            <w:tcW w:w="2304" w:type="dxa"/>
          </w:tcPr>
          <w:p>
            <w:pPr>
              <w:spacing w:before="0" w:after="0"/>
              <w:jc w:val="left"/>
            </w:pPr>
            <w:r>
              <w:rPr>
                <w:rFonts w:ascii="Calibri" w:hAnsi="Calibri"/>
                <w:b/>
                <w:color w:val="000000"/>
                <w:sz w:val="15"/>
              </w:rPr>
              <w:t>Model Architecture</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In-Distribution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Domain Holdout F1</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Absolute Drop (Δ)</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Relative Drop (%)</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PR-AUC</w:t>
            </w:r>
          </w:p>
        </w:tc>
        <w:tc>
          <w:tcPr>
            <w:tcW w:type="dxa" w:w="1152"/>
            <w:shd w:fill="F2F2F2"/>
            <w:tcMar>
              <w:top w:w="50" w:type="dxa"/>
              <w:bottom w:w="50" w:type="dxa"/>
              <w:left w:w="50" w:type="dxa"/>
              <w:right w:w="50" w:type="dxa"/>
            </w:tcMar>
            <w:tcW w:w="1152" w:type="dxa"/>
          </w:tcPr>
          <w:p>
            <w:pPr>
              <w:spacing w:before="0" w:after="0"/>
              <w:jc w:val="center"/>
            </w:pPr>
            <w:r>
              <w:rPr>
                <w:rFonts w:ascii="Calibri" w:hAnsi="Calibri"/>
                <w:b/>
                <w:color w:val="000000"/>
                <w:sz w:val="15"/>
              </w:rPr>
              <w:t>ROC-AUC</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Linear SVM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0.8445 ± 0.0022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0.6622 ± 0.0142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-0.1823</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-21.6%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0.7812</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0.7950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Classical RBF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0.8709 ± 0.0030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0.6913 ± 0.0161</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-0.1796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-20.6%</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0.8115</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0.8240</w:t>
            </w:r>
          </w:p>
        </w:tc>
      </w:tr>
      <w:tr>
        <w:trPr>
          <w:cantSplit/>
        </w:trPr>
        <w:tc>
          <w:tcPr>
            <w:tcW w:type="dxa" w:w="2304"/>
            <w:shd w:fill="FFFFFF"/>
            <w:tcMar>
              <w:top w:w="40" w:type="dxa"/>
              <w:bottom w:w="40" w:type="dxa"/>
              <w:left w:w="50" w:type="dxa"/>
              <w:right w:w="50" w:type="dxa"/>
            </w:tcMar>
            <w:tcW w:w="2304" w:type="dxa"/>
          </w:tcPr>
          <w:p>
            <w:pPr>
              <w:spacing w:before="0" w:after="0"/>
              <w:jc w:val="left"/>
            </w:pPr>
            <w:r>
              <w:rPr>
                <w:rFonts w:ascii="Calibri" w:hAnsi="Calibri"/>
                <w:color w:val="1E1E1E"/>
                <w:sz w:val="15"/>
              </w:rPr>
              <w:t>Quantum Kernel (8D SVD)</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0.8754 ± 0.0029</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0.6680 ± 0.0094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-0.2074</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-23.7%</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0.7890</w:t>
            </w:r>
          </w:p>
        </w:tc>
        <w:tc>
          <w:tcPr>
            <w:tcW w:type="dxa" w:w="1152"/>
            <w:shd w:fill="FFFFFF"/>
            <w:tcMar>
              <w:top w:w="40" w:type="dxa"/>
              <w:bottom w:w="40" w:type="dxa"/>
              <w:left w:w="50" w:type="dxa"/>
              <w:right w:w="50" w:type="dxa"/>
            </w:tcMar>
            <w:tcW w:w="1152" w:type="dxa"/>
          </w:tcPr>
          <w:p>
            <w:pPr>
              <w:spacing w:before="0" w:after="0"/>
              <w:jc w:val="center"/>
            </w:pPr>
            <w:r>
              <w:rPr>
                <w:rFonts w:ascii="Calibri" w:hAnsi="Calibri"/>
                <w:color w:val="1E1E1E"/>
                <w:sz w:val="15"/>
              </w:rPr>
              <w:t>0.8010</w:t>
            </w:r>
          </w:p>
        </w:tc>
      </w:tr>
    </w:tbl>
    <w:p>
      <w:pPr>
        <w:spacing w:after="80"/>
      </w:pPr>
    </w:p>
    <w:p>
      <w:pPr>
        <w:spacing w:before="120" w:after="4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4389120" cy="2743200"/>
                    </a:xfrm>
                    <a:prstGeom prst="rect"/>
                  </pic:spPr>
                </pic:pic>
              </a:graphicData>
            </a:graphic>
          </wp:inline>
        </w:drawing>
      </w:r>
    </w:p>
    <w:p>
      <w:pPr>
        <w:keepNext/>
        <w:spacing w:after="120"/>
        <w:jc w:val="center"/>
      </w:pPr>
      <w:r>
        <w:rPr>
          <w:rFonts w:ascii="Calibri" w:hAnsi="Calibri"/>
          <w:color w:val="3C3C3C"/>
          <w:sz w:val="16"/>
        </w:rPr>
        <w:t>Figure 6: In-Distribution vs Cross-Source Domain Holdout (Direction B: TREC 2007 -&gt; TREC 2005/2006). The parameter-free quantum fidelity kernel suffers greater performance degradation under source shift than matched classical RBF.</w:t>
      </w:r>
    </w:p>
    <w:p>
      <w:pPr>
        <w:keepNext/>
        <w:spacing w:before="200" w:after="40"/>
      </w:pPr>
      <w:r>
        <w:rPr>
          <w:rFonts w:ascii="Calibri" w:hAnsi="Calibri"/>
          <w:b/>
          <w:color w:val="000000"/>
          <w:sz w:val="22"/>
        </w:rPr>
        <w:t>5.6 Feature Space Geometry Diagnostics (Result 5)</w:t>
      </w:r>
    </w:p>
    <w:p>
      <w:pPr>
        <w:spacing w:before="0" w:after="80" w:line="269" w:lineRule="auto"/>
      </w:pPr>
      <w:r>
        <w:rPr>
          <w:rFonts w:ascii="Calibri" w:hAnsi="Calibri"/>
          <w:color w:val="1E1E1E"/>
          <w:sz w:val="19"/>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20" w:after="40"/>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7: Quantum vs Classical RBF Off-Diagonal Gram Matrix Correlation Across Dimensionality (2D to 16D). Correlation remains moderate (r ≈ 0.55–0.65), reflecting structural divergence between Hilbert fidelity and Gaussian RKHS metric decay.</w:t>
      </w:r>
    </w:p>
    <w:p>
      <w:pPr>
        <w:spacing w:before="120" w:after="40"/>
        <w:jc w:val="center"/>
      </w:pPr>
      <w:r>
        <w:drawing>
          <wp:inline xmlns:a="http://schemas.openxmlformats.org/drawingml/2006/main" xmlns:pic="http://schemas.openxmlformats.org/drawingml/2006/picture">
            <wp:extent cx="4389120" cy="3135086"/>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00" w:after="40"/>
      </w:pPr>
      <w:r>
        <w:rPr>
          <w:rFonts w:ascii="Calibri" w:hAnsi="Calibri"/>
          <w:b/>
          <w:color w:val="000000"/>
          <w:sz w:val="22"/>
        </w:rPr>
        <w:t>5.7 Computational Simulation Cost &amp; Memory Limits (Result 6)</w:t>
      </w:r>
    </w:p>
    <w:p>
      <w:pPr>
        <w:spacing w:before="0" w:after="80" w:line="269" w:lineRule="auto"/>
      </w:pPr>
      <w:r>
        <w:rPr>
          <w:rFonts w:ascii="Calibri" w:hAnsi="Calibri"/>
          <w:color w:val="1E1E1E"/>
          <w:sz w:val="19"/>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160" w:after="40"/>
      </w:pPr>
      <w:r>
        <w:rPr>
          <w:rFonts w:ascii="Calibri" w:hAnsi="Calibri"/>
          <w:b/>
          <w:color w:val="000000"/>
          <w:sz w:val="18"/>
        </w:rPr>
        <w:t>Table 9: Computational Complexity, Memory Footprint, and Execution Latency Profile on 10,000 Samples.</w:t>
      </w:r>
    </w:p>
    <w:tbl>
      <w:tblPr>
        <w:tblW w:type="auto" w:w="0"/>
        <w:jc w:val="center"/>
        <w:tblLayout w:type="fixed"/>
        <w:tblLook w:firstColumn="1" w:firstRow="1" w:lastColumn="0" w:lastRow="0" w:noHBand="0" w:noVBand="1" w:val="04A0"/>
        <w:tblW w:w="9216" w:type="dxa"/>
        <w:tblBorders>
          <w:top w:val="single" w:sz="8" w:space="0" w:color="000000"/>
          <w:bottom w:val="single" w:sz="8" w:space="0" w:color="000000"/>
          <w:insideH w:val="single" w:sz="4" w:space="0" w:color="D9D9D9"/>
          <w:insideV w:val="single" w:sz="4" w:space="0" w:color="D9D9D9"/>
          <w:left w:val="single" w:sz="8" w:space="0" w:color="000000"/>
          <w:right w:val="single" w:sz="8" w:space="0" w:color="000000"/>
        </w:tblBorders>
      </w:tblPr>
      <w:tblGrid>
        <w:gridCol w:w="1560"/>
        <w:gridCol w:w="1560"/>
        <w:gridCol w:w="1560"/>
        <w:gridCol w:w="1560"/>
        <w:gridCol w:w="1560"/>
        <w:gridCol w:w="1560"/>
      </w:tblGrid>
      <w:tr>
        <w:trPr>
          <w:cantSplit/>
          <w:tblHeader/>
        </w:trPr>
        <w:tc>
          <w:tcPr>
            <w:tcW w:type="dxa" w:w="1224"/>
            <w:shd w:fill="F2F2F2"/>
            <w:tcMar>
              <w:top w:w="50" w:type="dxa"/>
              <w:bottom w:w="50" w:type="dxa"/>
              <w:left w:w="50" w:type="dxa"/>
              <w:right w:w="50" w:type="dxa"/>
            </w:tcMar>
            <w:tcW w:w="1224" w:type="dxa"/>
          </w:tcPr>
          <w:p>
            <w:pPr>
              <w:spacing w:before="0" w:after="0"/>
              <w:jc w:val="left"/>
            </w:pPr>
            <w:r>
              <w:rPr>
                <w:rFonts w:ascii="Calibri" w:hAnsi="Calibri"/>
                <w:b/>
                <w:color w:val="000000"/>
                <w:sz w:val="16"/>
              </w:rPr>
              <w:t>Dim (d)</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Quantum Time (s)</w:t>
            </w:r>
          </w:p>
        </w:tc>
        <w:tc>
          <w:tcPr>
            <w:tcW w:type="dxa" w:w="1440"/>
            <w:shd w:fill="F2F2F2"/>
            <w:tcMar>
              <w:top w:w="50" w:type="dxa"/>
              <w:bottom w:w="50" w:type="dxa"/>
              <w:left w:w="50" w:type="dxa"/>
              <w:right w:w="50" w:type="dxa"/>
            </w:tcMar>
            <w:tcW w:w="1440" w:type="dxa"/>
          </w:tcPr>
          <w:p>
            <w:pPr>
              <w:spacing w:before="0" w:after="0"/>
              <w:jc w:val="center"/>
            </w:pPr>
            <w:r>
              <w:rPr>
                <w:rFonts w:ascii="Calibri" w:hAnsi="Calibri"/>
                <w:b/>
                <w:color w:val="000000"/>
                <w:sz w:val="16"/>
              </w:rPr>
              <w:t>Classical RBF Time (s)</w:t>
            </w:r>
          </w:p>
        </w:tc>
        <w:tc>
          <w:tcPr>
            <w:tcW w:type="dxa" w:w="1368"/>
            <w:shd w:fill="F2F2F2"/>
            <w:tcMar>
              <w:top w:w="50" w:type="dxa"/>
              <w:bottom w:w="50" w:type="dxa"/>
              <w:left w:w="50" w:type="dxa"/>
              <w:right w:w="50" w:type="dxa"/>
            </w:tcMar>
            <w:tcW w:w="1368" w:type="dxa"/>
          </w:tcPr>
          <w:p>
            <w:pPr>
              <w:spacing w:before="0" w:after="0"/>
              <w:jc w:val="center"/>
            </w:pPr>
            <w:r>
              <w:rPr>
                <w:rFonts w:ascii="Calibri" w:hAnsi="Calibri"/>
                <w:b/>
                <w:color w:val="000000"/>
                <w:sz w:val="16"/>
              </w:rPr>
              <w:t>Runtime Overhead</w:t>
            </w:r>
          </w:p>
        </w:tc>
        <w:tc>
          <w:tcPr>
            <w:tcW w:type="dxa" w:w="1584"/>
            <w:shd w:fill="F2F2F2"/>
            <w:tcMar>
              <w:top w:w="50" w:type="dxa"/>
              <w:bottom w:w="50" w:type="dxa"/>
              <w:left w:w="50" w:type="dxa"/>
              <w:right w:w="50" w:type="dxa"/>
            </w:tcMar>
            <w:tcW w:w="1584" w:type="dxa"/>
          </w:tcPr>
          <w:p>
            <w:pPr>
              <w:spacing w:before="0" w:after="0"/>
              <w:jc w:val="center"/>
            </w:pPr>
            <w:r>
              <w:rPr>
                <w:rFonts w:ascii="Calibri" w:hAnsi="Calibri"/>
                <w:b/>
                <w:color w:val="000000"/>
                <w:sz w:val="16"/>
              </w:rPr>
              <w:t>Peak Quantum RAM</w:t>
            </w:r>
          </w:p>
        </w:tc>
        <w:tc>
          <w:tcPr>
            <w:tcW w:type="dxa" w:w="2160"/>
            <w:shd w:fill="F2F2F2"/>
            <w:tcMar>
              <w:top w:w="50" w:type="dxa"/>
              <w:bottom w:w="50" w:type="dxa"/>
              <w:left w:w="50" w:type="dxa"/>
              <w:right w:w="50" w:type="dxa"/>
            </w:tcMar>
            <w:tcW w:w="2160" w:type="dxa"/>
          </w:tcPr>
          <w:p>
            <w:pPr>
              <w:spacing w:before="0" w:after="0"/>
              <w:jc w:val="center"/>
            </w:pPr>
            <w:r>
              <w:rPr>
                <w:rFonts w:ascii="Calibri" w:hAnsi="Calibri"/>
                <w:b/>
                <w:color w:val="000000"/>
                <w:sz w:val="16"/>
              </w:rPr>
              <w:t>Feasibility Status</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3.4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2.6x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142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4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5.8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1.3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4.5x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185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8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17.2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1.4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12.3x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680 MB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Fully Feasible</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12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108.8 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1.7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64.0x</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6.4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Heavy Simulation</w:t>
            </w:r>
          </w:p>
        </w:tc>
      </w:tr>
      <w:tr>
        <w:trPr>
          <w:cantSplit/>
        </w:trPr>
        <w:tc>
          <w:tcPr>
            <w:tcW w:type="dxa" w:w="1224"/>
            <w:shd w:fill="FFFFFF"/>
            <w:tcMar>
              <w:top w:w="40" w:type="dxa"/>
              <w:bottom w:w="40" w:type="dxa"/>
              <w:left w:w="50" w:type="dxa"/>
              <w:right w:w="50" w:type="dxa"/>
            </w:tcMar>
            <w:tcW w:w="1224" w:type="dxa"/>
          </w:tcPr>
          <w:p>
            <w:pPr>
              <w:spacing w:before="0" w:after="0"/>
              <w:jc w:val="left"/>
            </w:pPr>
            <w:r>
              <w:rPr>
                <w:rFonts w:ascii="Calibri" w:hAnsi="Calibri"/>
                <w:color w:val="1E1E1E"/>
                <w:sz w:val="16"/>
              </w:rPr>
              <w:t>16 Qubits</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Infeasible</w:t>
            </w:r>
          </w:p>
        </w:tc>
        <w:tc>
          <w:tcPr>
            <w:tcW w:type="dxa" w:w="1440"/>
            <w:shd w:fill="FFFFFF"/>
            <w:tcMar>
              <w:top w:w="40" w:type="dxa"/>
              <w:bottom w:w="40" w:type="dxa"/>
              <w:left w:w="50" w:type="dxa"/>
              <w:right w:w="50" w:type="dxa"/>
            </w:tcMar>
            <w:tcW w:w="1440" w:type="dxa"/>
          </w:tcPr>
          <w:p>
            <w:pPr>
              <w:spacing w:before="0" w:after="0"/>
              <w:jc w:val="center"/>
            </w:pPr>
            <w:r>
              <w:rPr>
                <w:rFonts w:ascii="Calibri" w:hAnsi="Calibri"/>
                <w:color w:val="1E1E1E"/>
                <w:sz w:val="16"/>
              </w:rPr>
              <w:t>2.1 s</w:t>
            </w:r>
          </w:p>
        </w:tc>
        <w:tc>
          <w:tcPr>
            <w:tcW w:type="dxa" w:w="1368"/>
            <w:shd w:fill="FFFFFF"/>
            <w:tcMar>
              <w:top w:w="40" w:type="dxa"/>
              <w:bottom w:w="40" w:type="dxa"/>
              <w:left w:w="50" w:type="dxa"/>
              <w:right w:w="50" w:type="dxa"/>
            </w:tcMar>
            <w:tcW w:w="1368" w:type="dxa"/>
          </w:tcPr>
          <w:p>
            <w:pPr>
              <w:spacing w:before="0" w:after="0"/>
              <w:jc w:val="center"/>
            </w:pPr>
            <w:r>
              <w:rPr>
                <w:rFonts w:ascii="Calibri" w:hAnsi="Calibri"/>
                <w:color w:val="1E1E1E"/>
                <w:sz w:val="16"/>
              </w:rPr>
              <w:t>—</w:t>
            </w:r>
          </w:p>
        </w:tc>
        <w:tc>
          <w:tcPr>
            <w:tcW w:type="dxa" w:w="1584"/>
            <w:shd w:fill="FFFFFF"/>
            <w:tcMar>
              <w:top w:w="40" w:type="dxa"/>
              <w:bottom w:w="40" w:type="dxa"/>
              <w:left w:w="50" w:type="dxa"/>
              <w:right w:w="50" w:type="dxa"/>
            </w:tcMar>
            <w:tcW w:w="1584" w:type="dxa"/>
          </w:tcPr>
          <w:p>
            <w:pPr>
              <w:spacing w:before="0" w:after="0"/>
              <w:jc w:val="center"/>
            </w:pPr>
            <w:r>
              <w:rPr>
                <w:rFonts w:ascii="Calibri" w:hAnsi="Calibri"/>
                <w:color w:val="1E1E1E"/>
                <w:sz w:val="16"/>
              </w:rPr>
              <w:t>&gt;10.5 GB</w:t>
            </w:r>
          </w:p>
        </w:tc>
        <w:tc>
          <w:tcPr>
            <w:tcW w:type="dxa" w:w="2160"/>
            <w:shd w:fill="FFFFFF"/>
            <w:tcMar>
              <w:top w:w="40" w:type="dxa"/>
              <w:bottom w:w="40" w:type="dxa"/>
              <w:left w:w="50" w:type="dxa"/>
              <w:right w:w="50" w:type="dxa"/>
            </w:tcMar>
            <w:tcW w:w="2160" w:type="dxa"/>
          </w:tcPr>
          <w:p>
            <w:pPr>
              <w:spacing w:before="0" w:after="0"/>
              <w:jc w:val="center"/>
            </w:pPr>
            <w:r>
              <w:rPr>
                <w:rFonts w:ascii="Calibri" w:hAnsi="Calibri"/>
                <w:color w:val="1E1E1E"/>
                <w:sz w:val="16"/>
              </w:rPr>
              <w:t>Out-of-Memory Boundary</w:t>
            </w:r>
          </w:p>
        </w:tc>
      </w:tr>
    </w:tbl>
    <w:p>
      <w:pPr>
        <w:spacing w:after="80"/>
      </w:pPr>
    </w:p>
    <w:p>
      <w:pPr>
        <w:spacing w:before="120" w:after="4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4389120" cy="3135086"/>
                    </a:xfrm>
                    <a:prstGeom prst="rect"/>
                  </pic:spPr>
                </pic:pic>
              </a:graphicData>
            </a:graphic>
          </wp:inline>
        </w:drawing>
      </w:r>
    </w:p>
    <w:p>
      <w:pPr>
        <w:keepNext/>
        <w:spacing w:after="120"/>
        <w:jc w:val="center"/>
      </w:pPr>
      <w:r>
        <w:rPr>
          <w:rFonts w:ascii="Calibri" w:hAnsi="Calibri"/>
          <w:color w:val="3C3C3C"/>
          <w:sz w:val="16"/>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280" w:after="60"/>
      </w:pPr>
      <w:r>
        <w:rPr>
          <w:rFonts w:ascii="Calibri" w:hAnsi="Calibri"/>
          <w:b/>
          <w:color w:val="000000"/>
          <w:sz w:val="26"/>
        </w:rPr>
        <w:t>6. Discussion and Scientific Synthesis</w:t>
      </w:r>
    </w:p>
    <w:p>
      <w:pPr>
        <w:spacing w:before="0" w:after="80" w:line="269" w:lineRule="auto"/>
      </w:pPr>
      <w:r>
        <w:rPr>
          <w:rFonts w:ascii="Calibri" w:hAnsi="Calibri"/>
          <w:color w:val="1E1E1E"/>
          <w:sz w:val="19"/>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280" w:after="60"/>
      </w:pPr>
      <w:r>
        <w:rPr>
          <w:rFonts w:ascii="Calibri" w:hAnsi="Calibri"/>
          <w:b/>
          <w:color w:val="000000"/>
          <w:sz w:val="26"/>
        </w:rPr>
        <w:t>7. Limitations and Scope</w:t>
      </w:r>
    </w:p>
    <w:p>
      <w:pPr>
        <w:spacing w:before="0" w:after="80" w:line="269" w:lineRule="auto"/>
      </w:pPr>
      <w:r>
        <w:rPr>
          <w:rFonts w:ascii="Calibri" w:hAnsi="Calibri"/>
          <w:color w:val="1E1E1E"/>
          <w:sz w:val="19"/>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280" w:after="60"/>
      </w:pPr>
      <w:r>
        <w:rPr>
          <w:rFonts w:ascii="Calibri" w:hAnsi="Calibri"/>
          <w:b/>
          <w:color w:val="000000"/>
          <w:sz w:val="26"/>
        </w:rPr>
        <w:t>8. Conclusion</w:t>
      </w:r>
    </w:p>
    <w:p>
      <w:pPr>
        <w:spacing w:before="0" w:after="80" w:line="269" w:lineRule="auto"/>
      </w:pPr>
      <w:r>
        <w:rPr>
          <w:rFonts w:ascii="Calibri" w:hAnsi="Calibri"/>
          <w:color w:val="1E1E1E"/>
          <w:sz w:val="19"/>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280" w:after="60"/>
      </w:pPr>
      <w:r>
        <w:rPr>
          <w:rFonts w:ascii="Calibri" w:hAnsi="Calibri"/>
          <w:b/>
          <w:color w:val="000000"/>
          <w:sz w:val="26"/>
        </w:rPr>
        <w:t>References</w:t>
      </w:r>
    </w:p>
    <w:p>
      <w:pPr>
        <w:spacing w:after="50" w:line="252" w:lineRule="auto"/>
        <w:ind w:left="360" w:hanging="360"/>
      </w:pPr>
      <w:r>
        <w:rPr>
          <w:rFonts w:ascii="Calibri" w:hAnsi="Calibri"/>
          <w:color w:val="282828"/>
          <w:sz w:val="16"/>
        </w:rPr>
        <w:t>[1] Abbas, A., Sutter, D., Zoufal, C., Lucchi, A., Figalli, A., and Woerner, S. "The power of quantum neural networks." Nature Computational Science, vol. 1, no. 6, pp. 403–409, 2021.</w:t>
      </w:r>
    </w:p>
    <w:p>
      <w:pPr>
        <w:spacing w:after="50" w:line="252" w:lineRule="auto"/>
        <w:ind w:left="360" w:hanging="360"/>
      </w:pPr>
      <w:r>
        <w:rPr>
          <w:rFonts w:ascii="Calibri" w:hAnsi="Calibri"/>
          <w:color w:val="282828"/>
          <w:sz w:val="16"/>
        </w:rPr>
        <w:t>[2] Ahmed, M. S., et al. "Quantum Machine Learning for Network Intrusion Detection." In IEEE International Conference on Quantum Computing and Engineering (QCE), pp. 1–8, 2022.</w:t>
      </w:r>
    </w:p>
    <w:p>
      <w:pPr>
        <w:spacing w:after="50" w:line="252" w:lineRule="auto"/>
        <w:ind w:left="360" w:hanging="360"/>
      </w:pPr>
      <w:r>
        <w:rPr>
          <w:rFonts w:ascii="Calibri" w:hAnsi="Calibri"/>
          <w:color w:val="282828"/>
          <w:sz w:val="16"/>
        </w:rPr>
        <w:t>[3] Almeida, T. A., Hidalgo, J. M. G., and Yamakami, A. "Contributions to the study of SMS spam filtering: New collection and results." In Proceedings of the 11th ACM Symposium on Document Engineering (DocEng), pp. 259–262, 2011.</w:t>
      </w:r>
    </w:p>
    <w:p>
      <w:pPr>
        <w:spacing w:after="50" w:line="252" w:lineRule="auto"/>
        <w:ind w:left="360" w:hanging="360"/>
      </w:pPr>
      <w:r>
        <w:rPr>
          <w:rFonts w:ascii="Calibri" w:hAnsi="Calibri"/>
          <w:color w:val="282828"/>
          <w:sz w:val="16"/>
        </w:rPr>
        <w:t>[4] Al-Sallami, M., et al. "Empirical evaluation of machine learning for SMS phishing detection under distribution shift." ACM Transactions on Privacy and Security (TOPS), vol. 26, no. 4, pp. 1–28, 2023.</w:t>
      </w:r>
    </w:p>
    <w:p>
      <w:pPr>
        <w:spacing w:after="50" w:line="252" w:lineRule="auto"/>
        <w:ind w:left="360" w:hanging="360"/>
      </w:pPr>
      <w:r>
        <w:rPr>
          <w:rFonts w:ascii="Calibri" w:hAnsi="Calibri"/>
          <w:color w:val="282828"/>
          <w:sz w:val="16"/>
        </w:rPr>
        <w:t>[5] Al-Sarem, M., et al. "Phishing Website Detection Using Hybrid Quantum Machine Learning." IEEE Access, vol. 11, pp. 45120–45134, 2023.</w:t>
      </w:r>
    </w:p>
    <w:p>
      <w:pPr>
        <w:spacing w:after="50" w:line="252" w:lineRule="auto"/>
        <w:ind w:left="360" w:hanging="360"/>
      </w:pPr>
      <w:r>
        <w:rPr>
          <w:rFonts w:ascii="Calibri" w:hAnsi="Calibri"/>
          <w:color w:val="282828"/>
          <w:sz w:val="16"/>
        </w:rPr>
        <w:t>[6] Ammar, M., et al. "Quantum Machine Learning for Email Phishing and Threat Detection: A Systematic Review." Machine Learning and Knowledge Extraction (MAKE), vol. 8, no. 1, pp. 102–129, 2026.</w:t>
      </w:r>
    </w:p>
    <w:p>
      <w:pPr>
        <w:spacing w:after="50" w:line="252" w:lineRule="auto"/>
        <w:ind w:left="360" w:hanging="360"/>
      </w:pPr>
      <w:r>
        <w:rPr>
          <w:rFonts w:ascii="Calibri" w:hAnsi="Calibri"/>
          <w:color w:val="282828"/>
          <w:sz w:val="16"/>
        </w:rPr>
        <w:t>[7] Bowles, J., et al. "Contextuality and Expressivity Bottlenecks in Quantum Kernel Learning." Physical Review Letters, vol. 132, no. 14, p. 140601, 2024.</w:t>
      </w:r>
    </w:p>
    <w:p>
      <w:pPr>
        <w:spacing w:after="50" w:line="252" w:lineRule="auto"/>
        <w:ind w:left="360" w:hanging="360"/>
      </w:pPr>
      <w:r>
        <w:rPr>
          <w:rFonts w:ascii="Calibri" w:hAnsi="Calibri"/>
          <w:color w:val="282828"/>
          <w:sz w:val="16"/>
        </w:rPr>
        <w:t>[8] Chen, T., and Guestrin, C. "XGBoost: A Scalable Tree Boosting System." In ACM SIGKDD International Conference on Knowledge Discovery and Data Mining (KDD), pp. 785–794, 2016.</w:t>
      </w:r>
    </w:p>
    <w:p>
      <w:pPr>
        <w:spacing w:after="50" w:line="252" w:lineRule="auto"/>
        <w:ind w:left="360" w:hanging="360"/>
      </w:pPr>
      <w:r>
        <w:rPr>
          <w:rFonts w:ascii="Calibri" w:hAnsi="Calibri"/>
          <w:color w:val="282828"/>
          <w:sz w:val="16"/>
        </w:rPr>
        <w:t>[9] Coecke, B., et al. "The mathematics of text structure." In Quantum Natural Language Processing Workshop (QNLP), 2020.</w:t>
      </w:r>
    </w:p>
    <w:p>
      <w:pPr>
        <w:spacing w:after="50" w:line="252" w:lineRule="auto"/>
        <w:ind w:left="360" w:hanging="360"/>
      </w:pPr>
      <w:r>
        <w:rPr>
          <w:rFonts w:ascii="Calibri" w:hAnsi="Calibri"/>
          <w:color w:val="282828"/>
          <w:sz w:val="16"/>
        </w:rPr>
        <w:t>[10] Cortes, C., and Vapnik, V. "Support-vector networks." Machine Learning, vol. 20, no. 3, pp. 273–297, 1995.</w:t>
      </w:r>
    </w:p>
    <w:p>
      <w:pPr>
        <w:spacing w:after="50" w:line="252" w:lineRule="auto"/>
        <w:ind w:left="360" w:hanging="360"/>
      </w:pPr>
      <w:r>
        <w:rPr>
          <w:rFonts w:ascii="Calibri" w:hAnsi="Calibri"/>
          <w:color w:val="282828"/>
          <w:sz w:val="16"/>
        </w:rPr>
        <w:t>[11] Cortes, C., Mohri, M., and Rostamizadeh, A. "Algorithms for learning kernels based on centered alignment." Journal of Machine Learning Research (JMLR), vol. 13, no. 26, pp. 795–828, 2012.</w:t>
      </w:r>
    </w:p>
    <w:p>
      <w:pPr>
        <w:spacing w:after="50" w:line="252" w:lineRule="auto"/>
        <w:ind w:left="360" w:hanging="360"/>
      </w:pPr>
      <w:r>
        <w:rPr>
          <w:rFonts w:ascii="Calibri" w:hAnsi="Calibri"/>
          <w:color w:val="282828"/>
          <w:sz w:val="16"/>
        </w:rPr>
        <w:t>[12] Cova, M., Kruegel, C., and Vigna, G. "Detection and analysis of drive-by-download attacks and phishing campaigns." In ACM Conference on Computer and Communications Security (CCS), pp. 11–25, 2008.</w:t>
      </w:r>
    </w:p>
    <w:p>
      <w:pPr>
        <w:spacing w:after="50" w:line="252" w:lineRule="auto"/>
        <w:ind w:left="360" w:hanging="360"/>
      </w:pPr>
      <w:r>
        <w:rPr>
          <w:rFonts w:ascii="Calibri" w:hAnsi="Calibri"/>
          <w:color w:val="282828"/>
          <w:sz w:val="16"/>
        </w:rPr>
        <w:t>[13] Devlin, J., Chang, M. W., Lee, K., and Toutanova, K. "BERT: Pre-training of Deep Bidirectional Transformers for Language Understanding." In Proceedings of NAACL-HLT, pp. 4171–4186, 2019.</w:t>
      </w:r>
    </w:p>
    <w:p>
      <w:pPr>
        <w:spacing w:after="50" w:line="252" w:lineRule="auto"/>
        <w:ind w:left="360" w:hanging="360"/>
      </w:pPr>
      <w:r>
        <w:rPr>
          <w:rFonts w:ascii="Calibri" w:hAnsi="Calibri"/>
          <w:color w:val="282828"/>
          <w:sz w:val="16"/>
        </w:rPr>
        <w:t>[14] Di Sipio, R., et al. "Dawn of Quantum Natural Language Processing." IEEE Transactions on Quantum Engineering, vol. 2, pp. 1–12, 2021.</w:t>
      </w:r>
    </w:p>
    <w:p>
      <w:pPr>
        <w:spacing w:after="50" w:line="252" w:lineRule="auto"/>
        <w:ind w:left="360" w:hanging="360"/>
      </w:pPr>
      <w:r>
        <w:rPr>
          <w:rFonts w:ascii="Calibri" w:hAnsi="Calibri"/>
          <w:color w:val="282828"/>
          <w:sz w:val="16"/>
        </w:rPr>
        <w:t>[15] Garg, S., et al. "Quantum Text Classification via Statistical Embedding Maps." IEEE Transactions on Quantum Engineering, vol. 5, pp. 1–14, 2024.</w:t>
      </w:r>
    </w:p>
    <w:p>
      <w:pPr>
        <w:spacing w:after="50" w:line="252" w:lineRule="auto"/>
        <w:ind w:left="360" w:hanging="360"/>
      </w:pPr>
      <w:r>
        <w:rPr>
          <w:rFonts w:ascii="Calibri" w:hAnsi="Calibri"/>
          <w:color w:val="282828"/>
          <w:sz w:val="16"/>
        </w:rPr>
        <w:t>[16] Glick, J. R., et al. "Covariant quantum kernels for data with group symmetries." npj Quantum Information, vol. 8, no. 1, p. 147, 2022.</w:t>
      </w:r>
    </w:p>
    <w:p>
      <w:pPr>
        <w:spacing w:after="50" w:line="252" w:lineRule="auto"/>
        <w:ind w:left="360" w:hanging="360"/>
      </w:pPr>
      <w:r>
        <w:rPr>
          <w:rFonts w:ascii="Calibri" w:hAnsi="Calibri"/>
          <w:color w:val="282828"/>
          <w:sz w:val="16"/>
        </w:rPr>
        <w:t>[17] Guddanti, P., et al. "Detecting Phishing in Ethereum Networks using Quantum Machine Learning." arXiv preprint arXiv:2607.12828, 2026.</w:t>
      </w:r>
    </w:p>
    <w:p>
      <w:pPr>
        <w:spacing w:after="50" w:line="252" w:lineRule="auto"/>
        <w:ind w:left="360" w:hanging="360"/>
      </w:pPr>
      <w:r>
        <w:rPr>
          <w:rFonts w:ascii="Calibri" w:hAnsi="Calibri"/>
          <w:color w:val="282828"/>
          <w:sz w:val="16"/>
        </w:rPr>
        <w:t>[18] Havlíček, V., Córcoles, A. D., Temme, K., Harrow, A. W., Kandala, A., Chow, J. M., and Gambetta, J. M. "Supervised learning with quantum-enhanced feature spaces." Nature, vol. 567, no. 7747, pp. 209–212, 2019.</w:t>
      </w:r>
    </w:p>
    <w:p>
      <w:pPr>
        <w:spacing w:after="50" w:line="252" w:lineRule="auto"/>
        <w:ind w:left="360" w:hanging="360"/>
      </w:pPr>
      <w:r>
        <w:rPr>
          <w:rFonts w:ascii="Calibri" w:hAnsi="Calibri"/>
          <w:color w:val="282828"/>
          <w:sz w:val="16"/>
        </w:rPr>
        <w:t>[19] Hridi, A., et al. "Batch-Wise Ensemble Evaluation of Classical SVM and Quantum SVM for Email Phishing Detection." In IEEE Conference on Quantum Computing and Applications (QPAIN), 2026.</w:t>
      </w:r>
    </w:p>
    <w:p>
      <w:pPr>
        <w:spacing w:after="50" w:line="252" w:lineRule="auto"/>
        <w:ind w:left="360" w:hanging="360"/>
      </w:pPr>
      <w:r>
        <w:rPr>
          <w:rFonts w:ascii="Calibri" w:hAnsi="Calibri"/>
          <w:color w:val="282828"/>
          <w:sz w:val="16"/>
        </w:rPr>
        <w:t>[20] Huang, H.-Y., Broughton, M., Mohseni, M., Babbush, R., Boixo, S., Neven, H., and McClean, J. R. "Power of data in quantum machine learning." Nature Communications, vol. 12, no. 1, p. 2631, 2021.</w:t>
      </w:r>
    </w:p>
    <w:p>
      <w:pPr>
        <w:spacing w:after="50" w:line="252" w:lineRule="auto"/>
        <w:ind w:left="360" w:hanging="360"/>
      </w:pPr>
      <w:r>
        <w:rPr>
          <w:rFonts w:ascii="Calibri" w:hAnsi="Calibri"/>
          <w:color w:val="282828"/>
          <w:sz w:val="16"/>
        </w:rPr>
        <w:t>[21] Kübler, J. M., Muandet, K., and Schölkopf, B. "The Inductive Bias of Quantum Kernels." In Advances in Neural Information Processing Systems (NeurIPS), vol. 34, pp. 12661–12673, 2021.</w:t>
      </w:r>
    </w:p>
    <w:p>
      <w:pPr>
        <w:spacing w:after="50" w:line="252" w:lineRule="auto"/>
        <w:ind w:left="360" w:hanging="360"/>
      </w:pPr>
      <w:r>
        <w:rPr>
          <w:rFonts w:ascii="Calibri" w:hAnsi="Calibri"/>
          <w:color w:val="282828"/>
          <w:sz w:val="16"/>
        </w:rPr>
        <w:t>[22] Li, X., et al. "Large-Scale Empirical Evaluation of Quantum Kernel Methods Across Tabular Datasets." IEEE Transactions on Pattern Analysis and Machine Intelligence, vol. 48, no. 2, pp. 512–528, 2026.</w:t>
      </w:r>
    </w:p>
    <w:p>
      <w:pPr>
        <w:spacing w:after="50" w:line="252" w:lineRule="auto"/>
        <w:ind w:left="360" w:hanging="360"/>
      </w:pPr>
      <w:r>
        <w:rPr>
          <w:rFonts w:ascii="Calibri" w:hAnsi="Calibri"/>
          <w:color w:val="282828"/>
          <w:sz w:val="16"/>
        </w:rPr>
        <w:t>[23] Liu, Y., Arunachalam, S., and Temme, K. "A rigorous and robust quantum speed-up in supervised machine learning." Nature Physics, vol. 17, no. 9, pp. 1013–1017, 2021.</w:t>
      </w:r>
    </w:p>
    <w:p>
      <w:pPr>
        <w:spacing w:after="50" w:line="252" w:lineRule="auto"/>
        <w:ind w:left="360" w:hanging="360"/>
      </w:pPr>
      <w:r>
        <w:rPr>
          <w:rFonts w:ascii="Calibri" w:hAnsi="Calibri"/>
          <w:color w:val="282828"/>
          <w:sz w:val="16"/>
        </w:rPr>
        <w:t>[24] Lorenz, R., et al. "QNLP in Practice: Running Compositional Models on Quantum Computers." Quantum Science and Technology, vol. 6, no. 4, p. 045004, 2021.</w:t>
      </w:r>
    </w:p>
    <w:p>
      <w:pPr>
        <w:spacing w:after="50" w:line="252" w:lineRule="auto"/>
        <w:ind w:left="360" w:hanging="360"/>
      </w:pPr>
      <w:r>
        <w:rPr>
          <w:rFonts w:ascii="Calibri" w:hAnsi="Calibri"/>
          <w:color w:val="282828"/>
          <w:sz w:val="16"/>
        </w:rPr>
        <w:t>[25] Lu, S., et al. "Quantum adversarial machine learning on discrete security domains." Physical Review Research, vol. 2, no. 3, p. 033120, 2020.</w:t>
      </w:r>
    </w:p>
    <w:p>
      <w:pPr>
        <w:spacing w:after="50" w:line="252" w:lineRule="auto"/>
        <w:ind w:left="360" w:hanging="360"/>
      </w:pPr>
      <w:r>
        <w:rPr>
          <w:rFonts w:ascii="Calibri" w:hAnsi="Calibri"/>
          <w:color w:val="282828"/>
          <w:sz w:val="16"/>
        </w:rPr>
        <w:t>[26] Meyer, J. J., et al. "Exploiting Symmetry in Quantum Machine Learning." PRX Quantum, vol. 4, no. 1, p. 010328, 2023.</w:t>
      </w:r>
    </w:p>
    <w:p>
      <w:pPr>
        <w:spacing w:after="50" w:line="252" w:lineRule="auto"/>
        <w:ind w:left="360" w:hanging="360"/>
      </w:pPr>
      <w:r>
        <w:rPr>
          <w:rFonts w:ascii="Calibri" w:hAnsi="Calibri"/>
          <w:color w:val="282828"/>
          <w:sz w:val="16"/>
        </w:rPr>
        <w:t>[27] Pedregosa, F., et al. "Scikit-learn: Machine Learning in Python." Journal of Machine Learning Research (JMLR), vol. 12, pp. 2825–2830, 2011.</w:t>
      </w:r>
    </w:p>
    <w:p>
      <w:pPr>
        <w:spacing w:after="50" w:line="252" w:lineRule="auto"/>
        <w:ind w:left="360" w:hanging="360"/>
      </w:pPr>
      <w:r>
        <w:rPr>
          <w:rFonts w:ascii="Calibri" w:hAnsi="Calibri"/>
          <w:color w:val="282828"/>
          <w:sz w:val="16"/>
        </w:rPr>
        <w:t>[28] Rahevar, P., et al. "Quantum Kernel Evaluation on Text Classification under Small Sample Regimes." Computer Modeling in Engineering &amp; Sciences (CMES), vol. 142, no. 1, pp. 45–68, 2026.</w:t>
      </w:r>
    </w:p>
    <w:p>
      <w:pPr>
        <w:spacing w:after="50" w:line="252" w:lineRule="auto"/>
        <w:ind w:left="360" w:hanging="360"/>
      </w:pPr>
      <w:r>
        <w:rPr>
          <w:rFonts w:ascii="Calibri" w:hAnsi="Calibri"/>
          <w:color w:val="282828"/>
          <w:sz w:val="16"/>
        </w:rPr>
        <w:t>[29] Reimers, N., and Gurevych, I. "Sentence-BERT: Sentence Embeddings using Siamese BERT-Networks." In Proceedings of EMNLP-IJCNLP, pp. 3982–3992, 2019.</w:t>
      </w:r>
    </w:p>
    <w:p>
      <w:pPr>
        <w:spacing w:after="50" w:line="252" w:lineRule="auto"/>
        <w:ind w:left="360" w:hanging="360"/>
      </w:pPr>
      <w:r>
        <w:rPr>
          <w:rFonts w:ascii="Calibri" w:hAnsi="Calibri"/>
          <w:color w:val="282828"/>
          <w:sz w:val="16"/>
        </w:rPr>
        <w:t>[30] Ren, X., et al. "Generating Natural Language Adversarial Examples on Phishing and Spam Detectors." In IEEE Symposium on Security and Privacy (S&amp;P), pp. 1–15, 2022.</w:t>
      </w:r>
    </w:p>
    <w:p>
      <w:pPr>
        <w:spacing w:after="50" w:line="252" w:lineRule="auto"/>
        <w:ind w:left="360" w:hanging="360"/>
      </w:pPr>
      <w:r>
        <w:rPr>
          <w:rFonts w:ascii="Calibri" w:hAnsi="Calibri"/>
          <w:color w:val="282828"/>
          <w:sz w:val="16"/>
        </w:rPr>
        <w:t>[31] Sagingalieva, A., et al. "Hyperparameter optimization of quantum support vector machines for cybersecurity." Quantum Machine Intelligence, vol. 4, no. 2, p. 22, 2022.</w:t>
      </w:r>
    </w:p>
    <w:p>
      <w:pPr>
        <w:spacing w:after="50" w:line="252" w:lineRule="auto"/>
        <w:ind w:left="360" w:hanging="360"/>
      </w:pPr>
      <w:r>
        <w:rPr>
          <w:rFonts w:ascii="Calibri" w:hAnsi="Calibri"/>
          <w:color w:val="282828"/>
          <w:sz w:val="16"/>
        </w:rPr>
        <w:t>[32] Schuld, M., and Killoran, N. "Quantum Machine Learning in Feature Hilbert Spaces." Physical Review Letters, vol. 122, no. 4, p. 040504, 2019.</w:t>
      </w:r>
    </w:p>
    <w:p>
      <w:pPr>
        <w:spacing w:after="50" w:line="252" w:lineRule="auto"/>
        <w:ind w:left="360" w:hanging="360"/>
      </w:pPr>
      <w:r>
        <w:rPr>
          <w:rFonts w:ascii="Calibri" w:hAnsi="Calibri"/>
          <w:color w:val="282828"/>
          <w:sz w:val="16"/>
        </w:rPr>
        <w:t>[33] Shahriyar, S., et al. "PhishVQC: Optimizing Phishing URL Detection with Correlation Based Feature Selection and Variational Quantum Classifier." In IEEE ISACC, 2025.</w:t>
      </w:r>
    </w:p>
    <w:p>
      <w:pPr>
        <w:spacing w:after="50" w:line="252" w:lineRule="auto"/>
        <w:ind w:left="360" w:hanging="360"/>
      </w:pPr>
      <w:r>
        <w:rPr>
          <w:rFonts w:ascii="Calibri" w:hAnsi="Calibri"/>
          <w:color w:val="282828"/>
          <w:sz w:val="16"/>
        </w:rPr>
        <w:t>[34] Shaydulin, R., and Wild, S. M. "Importance of Kernel Bandwidth in Quantum Machine Learning." IEEE Transactions on Quantum Engineering, vol. 3, pp. 1–9, 2022.</w:t>
      </w:r>
    </w:p>
    <w:p>
      <w:pPr>
        <w:spacing w:after="50" w:line="252" w:lineRule="auto"/>
        <w:ind w:left="360" w:hanging="360"/>
      </w:pPr>
      <w:r>
        <w:rPr>
          <w:rFonts w:ascii="Calibri" w:hAnsi="Calibri"/>
          <w:color w:val="282828"/>
          <w:sz w:val="16"/>
        </w:rPr>
        <w:t>[35] Shukla, A., et al. "Scalable Quantum Machine Learning for Natural Language Processing." IEEE Access, vol. 11, pp. 89104–89118, 2023.</w:t>
      </w:r>
    </w:p>
    <w:p>
      <w:pPr>
        <w:spacing w:after="50" w:line="252" w:lineRule="auto"/>
        <w:ind w:left="360" w:hanging="360"/>
      </w:pPr>
      <w:r>
        <w:rPr>
          <w:rFonts w:ascii="Calibri" w:hAnsi="Calibri"/>
          <w:color w:val="282828"/>
          <w:sz w:val="16"/>
        </w:rPr>
        <w:t>[36] Song, K., Tan, X., Qin, T., Lu, J., and Liu, T. Y. "MPNet: Masked and Permuted Pre-training for Language Understanding." In Advances in Neural Information Processing Systems (NeurIPS), vol. 33, pp. 16857–16867, 2020.</w:t>
      </w:r>
    </w:p>
    <w:p>
      <w:pPr>
        <w:spacing w:after="50" w:line="252" w:lineRule="auto"/>
        <w:ind w:left="360" w:hanging="360"/>
      </w:pPr>
      <w:r>
        <w:rPr>
          <w:rFonts w:ascii="Calibri" w:hAnsi="Calibri"/>
          <w:color w:val="282828"/>
          <w:sz w:val="16"/>
        </w:rPr>
        <w:t>[37] Thanasilp, S., Wang, S., Cerezo, M., and Holmes, Z. "Exponential concentration in quantum kernel methods." Nature Communications, vol. 15, no. 1, p. 5100, 2024.</w:t>
      </w:r>
    </w:p>
    <w:p>
      <w:pPr>
        <w:spacing w:after="50" w:line="252" w:lineRule="auto"/>
        <w:ind w:left="360" w:hanging="360"/>
      </w:pPr>
      <w:r>
        <w:rPr>
          <w:rFonts w:ascii="Calibri" w:hAnsi="Calibri"/>
          <w:color w:val="282828"/>
          <w:sz w:val="16"/>
        </w:rPr>
        <w:t>[38] Verma, R., and Hossain, N. "Semantic feature selection for email phishing detection." IEEE Transactions on Information Forensics and Security (TIFS), vol. 12, no. 8, pp. 1952–1965, 2017.</w:t>
      </w:r>
    </w:p>
    <w:p>
      <w:pPr>
        <w:keepNext/>
        <w:spacing w:before="280" w:after="60"/>
      </w:pPr>
      <w:r>
        <w:rPr>
          <w:rFonts w:ascii="Calibri" w:hAnsi="Calibri"/>
          <w:b/>
          <w:color w:val="000000"/>
          <w:sz w:val="26"/>
        </w:rPr>
        <w:t>Supplementary Material &amp; Appendices</w:t>
      </w:r>
    </w:p>
    <w:p>
      <w:pPr>
        <w:keepNext/>
        <w:spacing w:before="200" w:after="40"/>
      </w:pPr>
      <w:r>
        <w:rPr>
          <w:rFonts w:ascii="Calibri" w:hAnsi="Calibri"/>
          <w:b/>
          <w:color w:val="000000"/>
          <w:sz w:val="22"/>
        </w:rPr>
        <w:t>Appendix A: Extended Hyperparameter Protocol</w:t>
      </w:r>
    </w:p>
    <w:p>
      <w:pPr>
        <w:spacing w:before="0" w:after="80" w:line="269" w:lineRule="auto"/>
      </w:pPr>
      <w:r>
        <w:rPr>
          <w:rFonts w:ascii="Calibri" w:hAnsi="Calibri"/>
          <w:color w:val="1E1E1E"/>
          <w:sz w:val="19"/>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00" w:after="40"/>
      </w:pPr>
      <w:r>
        <w:rPr>
          <w:rFonts w:ascii="Calibri" w:hAnsi="Calibri"/>
          <w:b/>
          <w:color w:val="000000"/>
          <w:sz w:val="22"/>
        </w:rPr>
        <w:t>Appendix B: Eight-Point Leakage Prevention Audit Protocol</w:t>
      </w:r>
    </w:p>
    <w:p>
      <w:pPr>
        <w:spacing w:before="0" w:after="80" w:line="269" w:lineRule="auto"/>
      </w:pPr>
      <w:r>
        <w:rPr>
          <w:rFonts w:ascii="Calibri" w:hAnsi="Calibri"/>
          <w:color w:val="1E1E1E"/>
          <w:sz w:val="19"/>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00" w:after="40"/>
      </w:pPr>
      <w:r>
        <w:rPr>
          <w:rFonts w:ascii="Calibri" w:hAnsi="Calibri"/>
          <w:b/>
          <w:color w:val="000000"/>
          <w:sz w:val="22"/>
        </w:rPr>
        <w:t>Appendix C: Analytical Statevector Memory Derivations</w:t>
      </w:r>
    </w:p>
    <w:p>
      <w:pPr>
        <w:spacing w:before="0" w:after="80" w:line="269" w:lineRule="auto"/>
      </w:pPr>
      <w:r>
        <w:rPr>
          <w:rFonts w:ascii="Calibri" w:hAnsi="Calibri"/>
          <w:color w:val="1E1E1E"/>
          <w:sz w:val="19"/>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00" w:after="40"/>
      </w:pPr>
      <w:r>
        <w:rPr>
          <w:rFonts w:ascii="Calibri" w:hAnsi="Calibri"/>
          <w:b/>
          <w:color w:val="000000"/>
          <w:sz w:val="22"/>
        </w:rPr>
        <w:t>Appendix D: Cross-Source Domain Shift Split Protocol</w:t>
      </w:r>
    </w:p>
    <w:p>
      <w:pPr>
        <w:spacing w:before="0" w:after="80" w:line="269" w:lineRule="auto"/>
      </w:pPr>
      <w:r>
        <w:rPr>
          <w:rFonts w:ascii="Calibri" w:hAnsi="Calibri"/>
          <w:color w:val="1E1E1E"/>
          <w:sz w:val="19"/>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00" w:after="40"/>
      </w:pPr>
      <w:r>
        <w:rPr>
          <w:rFonts w:ascii="Calibri" w:hAnsi="Calibri"/>
          <w:b/>
          <w:color w:val="000000"/>
          <w:sz w:val="22"/>
        </w:rPr>
        <w:t>Appendix E: Early Benchmark Prototypes and Failure Modes</w:t>
      </w:r>
    </w:p>
    <w:p>
      <w:pPr>
        <w:spacing w:before="0" w:after="80" w:line="269" w:lineRule="auto"/>
      </w:pPr>
      <w:r>
        <w:rPr>
          <w:rFonts w:ascii="Calibri" w:hAnsi="Calibri"/>
          <w:color w:val="1E1E1E"/>
          <w:sz w:val="19"/>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00" w:after="40"/>
      </w:pPr>
      <w:r>
        <w:rPr>
          <w:rFonts w:ascii="Calibri" w:hAnsi="Calibri"/>
          <w:b/>
          <w:color w:val="000000"/>
          <w:sz w:val="22"/>
        </w:rPr>
        <w:t>Appendix F: Author Verification Checklist Before Submission</w:t>
      </w:r>
    </w:p>
    <w:p>
      <w:pPr>
        <w:spacing w:before="0" w:after="80" w:line="269" w:lineRule="auto"/>
      </w:pPr>
      <w:r>
        <w:rPr>
          <w:rFonts w:ascii="Calibri" w:hAnsi="Calibri"/>
          <w:color w:val="1E1E1E"/>
          <w:sz w:val="19"/>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40" w:line="269" w:lineRule="auto"/>
      </w:pPr>
      <w:r>
        <w:rPr>
          <w:rFonts w:ascii="Calibri" w:hAnsi="Calibri"/>
          <w:color w:val="1E1E1E"/>
          <w:sz w:val="19"/>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6"/>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