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F44" w:val="clear"/>
        <w:spacing w:after="0" w:before="0"/>
        <w:jc w:val="center"/>
      </w:pPr>
      <w:r>
        <w:rPr>
          <w:rFonts w:ascii="Arial" w:cs="Arial" w:eastAsia="Arial" w:hAnsi="Arial"/>
          <w:color w:val="FFFFFF"/>
          <w:sz w:val="4"/>
          <w:szCs w:val="4"/>
        </w:rPr>
        <w:t xml:space="preserve"> </w:t>
      </w:r>
    </w:p>
    <w:p>
      <w:pPr>
        <w:shd w:fill="0A1F44" w:val="clear"/>
        <w:spacing w:after="0" w:before="0"/>
        <w:jc w:val="center"/>
      </w:pPr>
      <w:r>
        <w:rPr>
          <w:rFonts w:ascii="Arial" w:cs="Arial" w:eastAsia="Arial" w:hAnsi="Arial"/>
          <w:color w:val="FFFFFF"/>
          <w:sz w:val="40"/>
          <w:szCs w:val="40"/>
        </w:rPr>
        <w:t xml:space="preserve"> </w:t>
      </w:r>
    </w:p>
    <w:p>
      <w:pPr>
        <w:shd w:fill="0A1F44" w:val="clear"/>
        <w:spacing w:after="0" w:before="0"/>
        <w:jc w:val="center"/>
      </w:pPr>
      <w:r>
        <w:rPr>
          <w:rFonts w:ascii="Arial" w:cs="Arial" w:eastAsia="Arial" w:hAnsi="Arial"/>
          <w:color w:val="FFFFFF"/>
          <w:sz w:val="40"/>
          <w:szCs w:val="40"/>
        </w:rPr>
        <w:t xml:space="preserve"> </w:t>
      </w:r>
    </w:p>
    <w:p>
      <w:pPr>
        <w:spacing w:after="200" w:before="0"/>
        <w:jc w:val="center"/>
      </w:pPr>
      <w:r>
        <w:rPr>
          <w:rFonts w:ascii="Arial" w:cs="Arial" w:eastAsia="Arial" w:hAnsi="Arial"/>
          <w:b/>
          <w:bCs/>
          <w:color w:val="FFFFFF"/>
          <w:sz w:val="64"/>
          <w:szCs w:val="64"/>
        </w:rPr>
        <w:t xml:space="preserve">THE DEVELOPER COMMUNITY</w:t>
      </w:r>
    </w:p>
    <w:p>
      <w:pPr>
        <w:spacing w:after="160" w:before="0"/>
        <w:jc w:val="center"/>
      </w:pPr>
      <w:r>
        <w:rPr>
          <w:rFonts w:ascii="Arial" w:cs="Arial" w:eastAsia="Arial" w:hAnsi="Arial"/>
          <w:color w:val="C5D8F0"/>
          <w:sz w:val="28"/>
          <w:szCs w:val="28"/>
        </w:rPr>
        <w:t xml:space="preserve">MASTER LEGAL DOCUMENTATION</w:t>
      </w:r>
    </w:p>
    <w:p>
      <w:pPr>
        <w:spacing w:after="160" w:before="0"/>
        <w:jc w:val="center"/>
      </w:pPr>
      <w:r>
        <w:rPr>
          <w:rFonts w:ascii="Arial" w:cs="Arial" w:eastAsia="Arial" w:hAnsi="Arial"/>
          <w:color w:val="C5D8F0"/>
          <w:sz w:val="28"/>
          <w:szCs w:val="28"/>
        </w:rPr>
        <w:t xml:space="preserve">Version 2.0  |  Effective Date: 2025</w:t>
      </w:r>
    </w:p>
    <w:p>
      <w:pPr>
        <w:shd w:fill="0A1F44" w:val="clear"/>
        <w:spacing w:after="0" w:before="0"/>
        <w:jc w:val="center"/>
      </w:pPr>
      <w:r>
        <w:rPr>
          <w:rFonts w:ascii="Arial" w:cs="Arial" w:eastAsia="Arial" w:hAnsi="Arial"/>
          <w:color w:val="FFFFFF"/>
          <w:sz w:val="40"/>
          <w:szCs w:val="40"/>
        </w:rPr>
        <w:t xml:space="preserve"> </w:t>
      </w:r>
    </w:p>
    <w:p>
      <w:pPr>
        <w:spacing w:after="60" w:before="60"/>
        <w:jc w:val="center"/>
      </w:pPr>
      <w:r>
        <w:rPr>
          <w:rFonts w:ascii="Arial" w:cs="Arial" w:eastAsia="Arial" w:hAnsi="Arial"/>
          <w:color w:val="99BBDD"/>
          <w:sz w:val="20"/>
          <w:szCs w:val="20"/>
        </w:rPr>
        <w:t xml:space="preserve">━━━━━━━━━━━━━━━━━━━━━━━━━━━━━━━━━━━━━━━━━━━━━━━</w:t>
      </w:r>
    </w:p>
    <w:p>
      <w:pPr>
        <w:spacing w:after="60" w:before="60"/>
        <w:jc w:val="center"/>
      </w:pPr>
      <w:r>
        <w:rPr>
          <w:rFonts w:ascii="Arial" w:cs="Arial" w:eastAsia="Arial" w:hAnsi="Arial"/>
          <w:color w:val="99BBDD"/>
          <w:sz w:val="20"/>
          <w:szCs w:val="20"/>
        </w:rPr>
        <w:t xml:space="preserve">STRICTLY CONFIDENTIAL AND PROPRIETARY</w:t>
      </w:r>
    </w:p>
    <w:p>
      <w:pPr>
        <w:spacing w:after="60" w:before="60"/>
        <w:jc w:val="center"/>
      </w:pPr>
      <w:r>
        <w:rPr>
          <w:rFonts w:ascii="Arial" w:cs="Arial" w:eastAsia="Arial" w:hAnsi="Arial"/>
          <w:color w:val="99BBDD"/>
          <w:sz w:val="20"/>
          <w:szCs w:val="20"/>
        </w:rPr>
        <w:t xml:space="preserve">Unauthorised reproduction or distribution is prohibited and subject to legal action</w:t>
      </w:r>
    </w:p>
    <w:p>
      <w:pPr>
        <w:spacing w:after="60" w:before="60"/>
        <w:jc w:val="center"/>
      </w:pPr>
      <w:r>
        <w:rPr>
          <w:rFonts w:ascii="Arial" w:cs="Arial" w:eastAsia="Arial" w:hAnsi="Arial"/>
          <w:color w:val="99BBDD"/>
          <w:sz w:val="20"/>
          <w:szCs w:val="20"/>
        </w:rPr>
        <w:t xml:space="preserve">━━━━━━━━━━━━━━━━━━━━━━━━━━━━━━━━━━━━━━━━━━━━━━━</w:t>
      </w:r>
    </w:p>
    <w:p>
      <w:pPr>
        <w:shd w:fill="0A1F44" w:val="clear"/>
        <w:spacing w:after="0" w:before="0"/>
        <w:jc w:val="center"/>
      </w:pPr>
      <w:r>
        <w:rPr>
          <w:rFonts w:ascii="Arial" w:cs="Arial" w:eastAsia="Arial" w:hAnsi="Arial"/>
          <w:color w:val="FFFFFF"/>
          <w:sz w:val="40"/>
          <w:szCs w:val="40"/>
        </w:rPr>
        <w:t xml:space="preserve"> </w:t>
      </w:r>
    </w:p>
    <w:p>
      <w:pPr>
        <w:shd w:fill="0A1F44" w:val="clear"/>
        <w:spacing w:after="0" w:before="0"/>
        <w:jc w:val="center"/>
      </w:pPr>
      <w:r>
        <w:rPr>
          <w:rFonts w:ascii="Arial" w:cs="Arial" w:eastAsia="Arial" w:hAnsi="Arial"/>
          <w:color w:val="FFFFFF"/>
          <w:sz w:val="40"/>
          <w:szCs w:val="40"/>
        </w:rPr>
        <w:t xml:space="preserve"> </w:t>
      </w:r>
    </w:p>
    <w:p>
      <w:pPr>
        <w:shd w:fill="0A1F44" w:val="clear"/>
        <w:spacing w:after="0" w:before="0"/>
        <w:jc w:val="center"/>
      </w:pPr>
      <w:r>
        <w:rPr>
          <w:rFonts w:ascii="Arial" w:cs="Arial" w:eastAsia="Arial" w:hAnsi="Arial"/>
          <w:color w:val="FFFFFF"/>
          <w:sz w:val="60"/>
          <w:szCs w:val="60"/>
        </w:rPr>
        <w:t xml:space="preserve"> </w:t>
      </w:r>
    </w:p>
    <w:p>
      <w:pPr>
        <w:spacing w:after="60" w:before="60"/>
      </w:pPr>
      <w:r>
        <w:t xml:space="preserve"/>
      </w:r>
    </w:p>
    <w:p>
      <w:pPr>
        <w:spacing w:after="60" w:before="60"/>
      </w:pPr>
      <w:r>
        <w:t xml:space="preserve"/>
      </w:r>
    </w:p>
    <w:p>
      <w:pPr>
        <w:spacing w:after="100" w:before="200"/>
        <w:jc w:val="center"/>
      </w:pPr>
      <w:r>
        <w:rPr>
          <w:rFonts w:ascii="Arial" w:cs="Arial" w:eastAsia="Arial" w:hAnsi="Arial"/>
          <w:b/>
          <w:bCs/>
          <w:color w:val="1A3C6E"/>
          <w:sz w:val="24"/>
          <w:szCs w:val="24"/>
        </w:rPr>
        <w:t xml:space="preserve">DOCUMENT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TITLE</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Document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Terms of Service</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Document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Supreme Authority &amp; Governance Charter</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Document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Unauthorized Action Penalties &amp; Enforcement Policy</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Document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Intellectual Property Assignment Agreement</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Document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Lead Agreement</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Document 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Non-Disclosure &amp; Confidentiality Agreement</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Document 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Participant Code of Conduct</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Document 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Participation Fee &amp; Revenue Distribution Policy</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Document 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Disclaimer &amp; Limitation of Liability</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Document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Privacy Policy</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Document 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Advisory Board Terms of Engagement</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Document 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Acceptable Use Policy</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Appendix 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Participant Onboarding Acknowledgement Form</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Appendix 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Penalty Schedule</w:t>
            </w:r>
          </w:p>
        </w:tc>
      </w:tr>
    </w:tbl>
    <w:p>
      <w:r>
        <w:br w:type="page"/>
      </w:r>
    </w:p>
    <w:p>
      <w:pPr>
        <w:shd w:fill="0A1F44" w:val="clear"/>
        <w:spacing w:after="160" w:before="0"/>
        <w:jc w:val="center"/>
      </w:pPr>
      <w:r>
        <w:rPr>
          <w:rFonts w:ascii="Arial" w:cs="Arial" w:eastAsia="Arial" w:hAnsi="Arial"/>
          <w:b/>
          <w:bCs/>
          <w:color w:val="FFFFFF"/>
          <w:sz w:val="36"/>
          <w:szCs w:val="36"/>
        </w:rPr>
        <w:t xml:space="preserve">  DOCUMENT 1: PLATFORM TERMS OF SERVICE  </w:t>
      </w:r>
    </w:p>
    <w:p>
      <w:pPr>
        <w:spacing w:after="60" w:before="60"/>
      </w:pPr>
      <w:r>
        <w:rPr>
          <w:rFonts w:ascii="Arial" w:cs="Arial" w:eastAsia="Arial" w:hAnsi="Arial"/>
          <w:i/>
          <w:iCs/>
          <w:color w:val="444444"/>
          <w:sz w:val="19"/>
          <w:szCs w:val="19"/>
        </w:rPr>
        <w:t xml:space="preserve">Effective: 2025  |  Applies to all participants, contributors, users, and members of The Developer Community.</w:t>
      </w:r>
    </w:p>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1. Acceptance of Terms</w:t>
      </w:r>
    </w:p>
    <w:p>
      <w:pPr>
        <w:spacing w:after="80" w:before="80"/>
        <w:jc w:val="both"/>
      </w:pPr>
      <w:r>
        <w:rPr>
          <w:rFonts w:ascii="Arial" w:cs="Arial" w:eastAsia="Arial" w:hAnsi="Arial"/>
          <w:color w:val="000000"/>
          <w:sz w:val="20"/>
          <w:szCs w:val="20"/>
        </w:rPr>
        <w:t xml:space="preserve">These Terms of Service ("Terms") constitute a legally binding contract between you ("User," "Participant," "Contributor," "Member," or "Project Lead," as applicable) and The Developer Community ("TDC," "Platform," "we," "us," or "our"). By registering, accessing, logging into, browsing, using, or participating in any TDC project, programme, activity, communication channel, or product, you unconditionally accept and agree to be legally bound by these Terms in their entirety, together with all supplementary documents listed in the Document Index above, all of which are incorporated herein by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FDE8E8" w:val="clear"/>
            <w:tcMar>
              <w:top w:type="dxa" w:w="160"/>
              <w:left w:type="dxa" w:w="240"/>
              <w:bottom w:type="dxa" w:w="160"/>
              <w:right w:type="dxa" w:w="240"/>
            </w:tcMar>
          </w:tcPr>
          <w:p>
            <w:r>
              <w:rPr>
                <w:rFonts w:ascii="Arial" w:cs="Arial" w:eastAsia="Arial" w:hAnsi="Arial"/>
                <w:b/>
                <w:bCs/>
                <w:color w:val="8B0000"/>
                <w:sz w:val="22"/>
                <w:szCs w:val="22"/>
              </w:rPr>
              <w:t xml:space="preserve">⚠  MANDATORY ACCEPTANCE — NO EXCEPTIONS</w:t>
            </w:r>
          </w:p>
          <w:p>
            <w:r>
              <w:rPr>
                <w:rFonts w:ascii="Arial" w:cs="Arial" w:eastAsia="Arial" w:hAnsi="Arial"/>
                <w:color w:val="5C0000"/>
                <w:sz w:val="20"/>
                <w:szCs w:val="20"/>
              </w:rPr>
              <w:t xml:space="preserve">You may not partially accept these Terms. Acceptance is all-or-nothing. If you do not agree to every provision, you must immediately cease all participation and access. Continued use of TDC in any form constitutes full legal acceptance of all documents in this package.</w:t>
            </w:r>
          </w:p>
        </w:tc>
      </w:tr>
    </w:tbl>
    <w:p>
      <w:pPr>
        <w:spacing w:after="60" w:before="60"/>
      </w:pPr>
      <w:r>
        <w:t xml:space="preserve"/>
      </w:r>
    </w:p>
    <w:p>
      <w:pPr>
        <w:spacing w:after="80" w:before="80"/>
        <w:jc w:val="left"/>
      </w:pPr>
      <w:r>
        <w:rPr>
          <w:rFonts w:ascii="Arial" w:cs="Arial" w:eastAsia="Arial" w:hAnsi="Arial"/>
          <w:color w:val="000000"/>
          <w:sz w:val="20"/>
          <w:szCs w:val="20"/>
        </w:rPr>
        <w:t xml:space="preserve">These Terms apply to all participant categories without distinction:</w:t>
      </w:r>
    </w:p>
    <w:p>
      <w:pPr>
        <w:pStyle w:val="ListParagraph"/>
        <w:numPr>
          <w:ilvl w:val="0"/>
          <w:numId w:val="2"/>
        </w:numPr>
        <w:spacing w:after="40" w:before="40"/>
      </w:pPr>
      <w:r>
        <w:rPr>
          <w:rFonts w:ascii="Arial" w:cs="Arial" w:eastAsia="Arial" w:hAnsi="Arial"/>
          <w:color w:val="000000"/>
          <w:sz w:val="20"/>
          <w:szCs w:val="20"/>
        </w:rPr>
        <w:t xml:space="preserve">Freshers — new developers seeking learning and portfolio experience</w:t>
      </w:r>
    </w:p>
    <w:p>
      <w:pPr>
        <w:pStyle w:val="ListParagraph"/>
        <w:numPr>
          <w:ilvl w:val="0"/>
          <w:numId w:val="2"/>
        </w:numPr>
        <w:spacing w:after="40" w:before="40"/>
      </w:pPr>
      <w:r>
        <w:rPr>
          <w:rFonts w:ascii="Arial" w:cs="Arial" w:eastAsia="Arial" w:hAnsi="Arial"/>
          <w:color w:val="000000"/>
          <w:sz w:val="20"/>
          <w:szCs w:val="20"/>
        </w:rPr>
        <w:t xml:space="preserve">Student Developers — university or college students building projects</w:t>
      </w:r>
    </w:p>
    <w:p>
      <w:pPr>
        <w:pStyle w:val="ListParagraph"/>
        <w:numPr>
          <w:ilvl w:val="0"/>
          <w:numId w:val="2"/>
        </w:numPr>
        <w:spacing w:after="40" w:before="40"/>
      </w:pPr>
      <w:r>
        <w:rPr>
          <w:rFonts w:ascii="Arial" w:cs="Arial" w:eastAsia="Arial" w:hAnsi="Arial"/>
          <w:color w:val="000000"/>
          <w:sz w:val="20"/>
          <w:szCs w:val="20"/>
        </w:rPr>
        <w:t xml:space="preserve">Working Professionals — industry developers participating in TDC projects</w:t>
      </w:r>
    </w:p>
    <w:p>
      <w:pPr>
        <w:pStyle w:val="ListParagraph"/>
        <w:numPr>
          <w:ilvl w:val="0"/>
          <w:numId w:val="2"/>
        </w:numPr>
        <w:spacing w:after="40" w:before="40"/>
      </w:pPr>
      <w:r>
        <w:rPr>
          <w:rFonts w:ascii="Arial" w:cs="Arial" w:eastAsia="Arial" w:hAnsi="Arial"/>
          <w:color w:val="000000"/>
          <w:sz w:val="20"/>
          <w:szCs w:val="20"/>
        </w:rPr>
        <w:t xml:space="preserve">Project Leads — selected members leading a product team</w:t>
      </w:r>
    </w:p>
    <w:p>
      <w:pPr>
        <w:pStyle w:val="ListParagraph"/>
        <w:numPr>
          <w:ilvl w:val="0"/>
          <w:numId w:val="2"/>
        </w:numPr>
        <w:spacing w:after="40" w:before="40"/>
      </w:pPr>
      <w:r>
        <w:rPr>
          <w:rFonts w:ascii="Arial" w:cs="Arial" w:eastAsia="Arial" w:hAnsi="Arial"/>
          <w:color w:val="000000"/>
          <w:sz w:val="20"/>
          <w:szCs w:val="20"/>
        </w:rPr>
        <w:t xml:space="preserve">Core Committee — President/CEO/Director, COO, CTO, CMO, CSO</w:t>
      </w:r>
    </w:p>
    <w:p>
      <w:pPr>
        <w:pStyle w:val="ListParagraph"/>
        <w:numPr>
          <w:ilvl w:val="0"/>
          <w:numId w:val="2"/>
        </w:numPr>
        <w:spacing w:after="40" w:before="40"/>
      </w:pPr>
      <w:r>
        <w:rPr>
          <w:rFonts w:ascii="Arial" w:cs="Arial" w:eastAsia="Arial" w:hAnsi="Arial"/>
          <w:color w:val="000000"/>
          <w:sz w:val="20"/>
          <w:szCs w:val="20"/>
        </w:rPr>
        <w:t xml:space="preserve">Advisory Board Members — senior engineers providing mentorship</w:t>
      </w:r>
    </w:p>
    <w:p>
      <w:pPr>
        <w:pStyle w:val="ListParagraph"/>
        <w:numPr>
          <w:ilvl w:val="0"/>
          <w:numId w:val="2"/>
        </w:numPr>
        <w:spacing w:after="40" w:before="40"/>
      </w:pPr>
      <w:r>
        <w:rPr>
          <w:rFonts w:ascii="Arial" w:cs="Arial" w:eastAsia="Arial" w:hAnsi="Arial"/>
          <w:color w:val="000000"/>
          <w:sz w:val="20"/>
          <w:szCs w:val="20"/>
        </w:rPr>
        <w:t xml:space="preserve">External Users — persons accessing any TDC-built product or website</w:t>
      </w:r>
    </w:p>
    <w:p>
      <w:pPr>
        <w:pStyle w:val="Heading1"/>
        <w:pBdr>
          <w:bottom w:val="single" w:color="1A3C6E" w:sz="6"/>
        </w:pBdr>
        <w:spacing w:after="200" w:before="480"/>
      </w:pPr>
      <w:r>
        <w:rPr>
          <w:rFonts w:ascii="Arial" w:cs="Arial" w:eastAsia="Arial" w:hAnsi="Arial"/>
          <w:b/>
          <w:bCs/>
          <w:color w:val="1A3C6E"/>
          <w:sz w:val="34"/>
          <w:szCs w:val="34"/>
        </w:rPr>
        <w:t xml:space="preserve">2. Platform Description and Purpose</w:t>
      </w:r>
    </w:p>
    <w:p>
      <w:pPr>
        <w:spacing w:after="80" w:before="80"/>
        <w:jc w:val="left"/>
      </w:pPr>
      <w:r>
        <w:rPr>
          <w:rFonts w:ascii="Arial" w:cs="Arial" w:eastAsia="Arial" w:hAnsi="Arial"/>
          <w:color w:val="000000"/>
          <w:sz w:val="20"/>
          <w:szCs w:val="20"/>
        </w:rPr>
        <w:t xml:space="preserve">TDC is a structured platform that assembles teams of developers to collaboratively build, ship, and scale real software products. TDC provides team assembly, strategic guidance, advisory mentorship, project infrastructure, and go-to-market support. All products built on or through TDC are exclusively owned by TDC as set forth in Document 4.</w:t>
      </w:r>
    </w:p>
    <w:p>
      <w:pPr>
        <w:spacing w:after="60" w:before="60"/>
      </w:pPr>
      <w:r>
        <w:t xml:space="preserve"/>
      </w:r>
    </w:p>
    <w:p>
      <w:pPr>
        <w:spacing w:after="80" w:before="80"/>
        <w:jc w:val="left"/>
      </w:pPr>
      <w:r>
        <w:rPr>
          <w:rFonts w:ascii="Arial" w:cs="Arial" w:eastAsia="Arial" w:hAnsi="Arial"/>
          <w:color w:val="000000"/>
          <w:sz w:val="20"/>
          <w:szCs w:val="20"/>
        </w:rPr>
        <w:t xml:space="preserve">Participation in TDC is for educational and professional development purposes only. TDC does not guarantee employment, financial return, equity, or any commercial outcome to any participant.</w:t>
      </w:r>
    </w:p>
    <w:p>
      <w:pPr>
        <w:pStyle w:val="Heading1"/>
        <w:pBdr>
          <w:bottom w:val="single" w:color="1A3C6E" w:sz="6"/>
        </w:pBdr>
        <w:spacing w:after="200" w:before="480"/>
      </w:pPr>
      <w:r>
        <w:rPr>
          <w:rFonts w:ascii="Arial" w:cs="Arial" w:eastAsia="Arial" w:hAnsi="Arial"/>
          <w:b/>
          <w:bCs/>
          <w:color w:val="1A3C6E"/>
          <w:sz w:val="34"/>
          <w:szCs w:val="34"/>
        </w:rPr>
        <w:t xml:space="preserve">3. Eligibility</w:t>
      </w:r>
    </w:p>
    <w:p>
      <w:pPr>
        <w:pStyle w:val="ListParagraph"/>
        <w:numPr>
          <w:ilvl w:val="0"/>
          <w:numId w:val="2"/>
        </w:numPr>
        <w:spacing w:after="40" w:before="40"/>
      </w:pPr>
      <w:r>
        <w:rPr>
          <w:rFonts w:ascii="Arial" w:cs="Arial" w:eastAsia="Arial" w:hAnsi="Arial"/>
          <w:color w:val="000000"/>
          <w:sz w:val="20"/>
          <w:szCs w:val="20"/>
        </w:rPr>
        <w:t xml:space="preserve">Minimum age of 16 years</w:t>
      </w:r>
    </w:p>
    <w:p>
      <w:pPr>
        <w:pStyle w:val="ListParagraph"/>
        <w:numPr>
          <w:ilvl w:val="0"/>
          <w:numId w:val="2"/>
        </w:numPr>
        <w:spacing w:after="40" w:before="40"/>
      </w:pPr>
      <w:r>
        <w:rPr>
          <w:rFonts w:ascii="Arial" w:cs="Arial" w:eastAsia="Arial" w:hAnsi="Arial"/>
          <w:color w:val="000000"/>
          <w:sz w:val="20"/>
          <w:szCs w:val="20"/>
        </w:rPr>
        <w:t xml:space="preserve">Provision of accurate, true, and complete registration information</w:t>
      </w:r>
    </w:p>
    <w:p>
      <w:pPr>
        <w:pStyle w:val="ListParagraph"/>
        <w:numPr>
          <w:ilvl w:val="0"/>
          <w:numId w:val="2"/>
        </w:numPr>
        <w:spacing w:after="40" w:before="40"/>
      </w:pPr>
      <w:r>
        <w:rPr>
          <w:rFonts w:ascii="Arial" w:cs="Arial" w:eastAsia="Arial" w:hAnsi="Arial"/>
          <w:color w:val="000000"/>
          <w:sz w:val="20"/>
          <w:szCs w:val="20"/>
        </w:rPr>
        <w:t xml:space="preserve">Legal capacity to enter binding contracts in your jurisdiction</w:t>
      </w:r>
    </w:p>
    <w:p>
      <w:pPr>
        <w:pStyle w:val="ListParagraph"/>
        <w:numPr>
          <w:ilvl w:val="0"/>
          <w:numId w:val="2"/>
        </w:numPr>
        <w:spacing w:after="40" w:before="40"/>
      </w:pPr>
      <w:r>
        <w:rPr>
          <w:rFonts w:ascii="Arial" w:cs="Arial" w:eastAsia="Arial" w:hAnsi="Arial"/>
          <w:color w:val="000000"/>
          <w:sz w:val="20"/>
          <w:szCs w:val="20"/>
        </w:rPr>
        <w:t xml:space="preserve">No prior history of violating TDC policies or being removed from TDC</w:t>
      </w:r>
    </w:p>
    <w:p>
      <w:pPr>
        <w:pStyle w:val="ListParagraph"/>
        <w:numPr>
          <w:ilvl w:val="0"/>
          <w:numId w:val="2"/>
        </w:numPr>
        <w:spacing w:after="40" w:before="40"/>
      </w:pPr>
      <w:r>
        <w:rPr>
          <w:rFonts w:ascii="Arial" w:cs="Arial" w:eastAsia="Arial" w:hAnsi="Arial"/>
          <w:color w:val="000000"/>
          <w:sz w:val="20"/>
          <w:szCs w:val="20"/>
        </w:rPr>
        <w:t xml:space="preserve">Full compliance with all obligations in this document package</w:t>
      </w:r>
    </w:p>
    <w:p>
      <w:pPr>
        <w:spacing w:after="60" w:before="60"/>
      </w:pPr>
      <w:r>
        <w:t xml:space="preserve"/>
      </w:r>
    </w:p>
    <w:p>
      <w:pPr>
        <w:spacing w:after="80" w:before="80"/>
        <w:jc w:val="left"/>
      </w:pPr>
      <w:r>
        <w:rPr>
          <w:rFonts w:ascii="Arial" w:cs="Arial" w:eastAsia="Arial" w:hAnsi="Arial"/>
          <w:color w:val="000000"/>
          <w:sz w:val="20"/>
          <w:szCs w:val="20"/>
        </w:rPr>
        <w:t xml:space="preserve">TDC reserves the absolute and unconditional right to reject, suspend, or permanently remove any applicant or member at any time, at its sole and unreviewable discretion, with or without cause and with or without prior notice.</w:t>
      </w:r>
    </w:p>
    <w:p>
      <w:pPr>
        <w:pStyle w:val="Heading1"/>
        <w:pBdr>
          <w:bottom w:val="single" w:color="1A3C6E" w:sz="6"/>
        </w:pBdr>
        <w:spacing w:after="200" w:before="480"/>
      </w:pPr>
      <w:r>
        <w:rPr>
          <w:rFonts w:ascii="Arial" w:cs="Arial" w:eastAsia="Arial" w:hAnsi="Arial"/>
          <w:b/>
          <w:bCs/>
          <w:color w:val="1A3C6E"/>
          <w:sz w:val="34"/>
          <w:szCs w:val="34"/>
        </w:rPr>
        <w:t xml:space="preserve">4. TDC Authority Structure — Supreme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E" w:sz="4"/>
              <w:left w:val="single" w:color="1A3C6E" w:sz="4"/>
              <w:bottom w:val="single" w:color="1A3C6E" w:sz="4"/>
              <w:right w:val="single" w:color="1A3C6E" w:sz="4"/>
            </w:tcBorders>
            <w:shd w:fill="D5E8F0" w:val="clear"/>
            <w:tcMar>
              <w:top w:type="dxa" w:w="160"/>
              <w:left w:type="dxa" w:w="240"/>
              <w:bottom w:type="dxa" w:w="160"/>
              <w:right w:type="dxa" w:w="240"/>
            </w:tcMar>
          </w:tcPr>
          <w:p>
            <w:r>
              <w:rPr>
                <w:rFonts w:ascii="Arial" w:cs="Arial" w:eastAsia="Arial" w:hAnsi="Arial"/>
                <w:b/>
                <w:bCs/>
                <w:color w:val="0A1F44"/>
                <w:sz w:val="22"/>
                <w:szCs w:val="22"/>
              </w:rPr>
              <w:t xml:space="preserve">★  SUPREME AUTHORITY — THE DEVELOPER COMMUNITY LEADERSHIP</w:t>
            </w:r>
          </w:p>
          <w:p>
            <w:r>
              <w:rPr>
                <w:rFonts w:ascii="Arial" w:cs="Arial" w:eastAsia="Arial" w:hAnsi="Arial"/>
                <w:color w:val="102A52"/>
                <w:sz w:val="20"/>
                <w:szCs w:val="20"/>
              </w:rPr>
              <w:t xml:space="preserve">All operational, financial, strategic, legal, technical, and administrative authority within TDC is vested exclusively in The Developer Community's founding leadership: the President/CEO/Director and the Core Committee. No participant, contributor, or member holds any authority to act independently on behalf of TDC in any capacity whatsoever.</w:t>
            </w:r>
          </w:p>
        </w:tc>
      </w:tr>
    </w:tbl>
    <w:p>
      <w:pPr>
        <w:spacing w:after="60" w:before="60"/>
      </w:pPr>
      <w:r>
        <w:t xml:space="preserve"/>
      </w:r>
    </w:p>
    <w:p>
      <w:pPr>
        <w:spacing w:after="80" w:before="80"/>
        <w:jc w:val="left"/>
      </w:pPr>
      <w:r>
        <w:rPr>
          <w:rFonts w:ascii="Arial" w:cs="Arial" w:eastAsia="Arial" w:hAnsi="Arial"/>
          <w:color w:val="000000"/>
          <w:sz w:val="20"/>
          <w:szCs w:val="20"/>
        </w:rPr>
        <w:t xml:space="preserve">4.1  The President/CEO/Director ("Supreme Authority") holds final, unilateral, and unreviewable decision-making power over all matters concerning TDC, its products, its participants, and its operations. No decision of any kind is final unless approved or ratified by the Supreme Authority.</w:t>
      </w:r>
    </w:p>
    <w:p>
      <w:pPr>
        <w:spacing w:after="60" w:before="60"/>
      </w:pPr>
      <w:r>
        <w:t xml:space="preserve"/>
      </w:r>
    </w:p>
    <w:p>
      <w:pPr>
        <w:spacing w:after="80" w:before="80"/>
        <w:jc w:val="left"/>
      </w:pPr>
      <w:r>
        <w:rPr>
          <w:rFonts w:ascii="Arial" w:cs="Arial" w:eastAsia="Arial" w:hAnsi="Arial"/>
          <w:color w:val="000000"/>
          <w:sz w:val="20"/>
          <w:szCs w:val="20"/>
        </w:rPr>
        <w:t xml:space="preserve">4.2  The Core Committee (COO, CTO, CMO, CSO) operates under the direct authority and delegation of the Supreme Authority. Core Committee decisions are subject to review and override by the Supreme Authority at any time without explanation.</w:t>
      </w:r>
    </w:p>
    <w:p>
      <w:pPr>
        <w:spacing w:after="60" w:before="60"/>
      </w:pPr>
      <w:r>
        <w:t xml:space="preserve"/>
      </w:r>
    </w:p>
    <w:p>
      <w:pPr>
        <w:spacing w:after="80" w:before="80"/>
        <w:jc w:val="left"/>
      </w:pPr>
      <w:r>
        <w:rPr>
          <w:rFonts w:ascii="Arial" w:cs="Arial" w:eastAsia="Arial" w:hAnsi="Arial"/>
          <w:color w:val="000000"/>
          <w:sz w:val="20"/>
          <w:szCs w:val="20"/>
        </w:rPr>
        <w:t xml:space="preserve">4.3  Project Leads, subsystem leads, contributors, freshers, advisory board members, and all other participants have zero authority to make binding decisions, commitments, representations, or actions on behalf of TDC. Any purported action taken without prior written approval from the Supreme Authority or a delegated Core Committee member is void, unauthorised, and subject to the penalties in Document 3.</w:t>
      </w:r>
    </w:p>
    <w:p>
      <w:pPr>
        <w:pStyle w:val="Heading1"/>
        <w:pBdr>
          <w:bottom w:val="single" w:color="1A3C6E" w:sz="6"/>
        </w:pBdr>
        <w:spacing w:after="200" w:before="480"/>
      </w:pPr>
      <w:r>
        <w:rPr>
          <w:rFonts w:ascii="Arial" w:cs="Arial" w:eastAsia="Arial" w:hAnsi="Arial"/>
          <w:b/>
          <w:bCs/>
          <w:color w:val="1A3C6E"/>
          <w:sz w:val="34"/>
          <w:szCs w:val="34"/>
        </w:rPr>
        <w:t xml:space="preserve">5. Intellectual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E" w:sz="4"/>
              <w:left w:val="single" w:color="1A3C6E" w:sz="4"/>
              <w:bottom w:val="single" w:color="1A3C6E" w:sz="4"/>
              <w:right w:val="single" w:color="1A3C6E" w:sz="4"/>
            </w:tcBorders>
            <w:shd w:fill="D5E8F0" w:val="clear"/>
            <w:tcMar>
              <w:top w:type="dxa" w:w="160"/>
              <w:left w:type="dxa" w:w="240"/>
              <w:bottom w:type="dxa" w:w="160"/>
              <w:right w:type="dxa" w:w="240"/>
            </w:tcMar>
          </w:tcPr>
          <w:p>
            <w:r>
              <w:rPr>
                <w:rFonts w:ascii="Arial" w:cs="Arial" w:eastAsia="Arial" w:hAnsi="Arial"/>
                <w:b/>
                <w:bCs/>
                <w:color w:val="0A1F44"/>
                <w:sz w:val="22"/>
                <w:szCs w:val="22"/>
              </w:rPr>
              <w:t xml:space="preserve">★  ALL PRODUCTS AND WORK PRODUCT ARE 100% OWNED BY TDC</w:t>
            </w:r>
          </w:p>
          <w:p>
            <w:r>
              <w:rPr>
                <w:rFonts w:ascii="Arial" w:cs="Arial" w:eastAsia="Arial" w:hAnsi="Arial"/>
                <w:color w:val="102A52"/>
                <w:sz w:val="20"/>
                <w:szCs w:val="20"/>
              </w:rPr>
              <w:t xml:space="preserve">No participant at any level — including Project Leads, Core Committee members, and Advisory Board members — holds any ownership, equity, licensing rights, or claims over any TDC product, codebase, brand, platform, or revenue stream. This is an absolute and irrevocable condition.</w:t>
            </w:r>
          </w:p>
        </w:tc>
      </w:tr>
    </w:tbl>
    <w:p>
      <w:pPr>
        <w:spacing w:after="60" w:before="60"/>
      </w:pPr>
      <w:r>
        <w:t xml:space="preserve"/>
      </w:r>
    </w:p>
    <w:p>
      <w:pPr>
        <w:spacing w:after="80" w:before="80"/>
        <w:jc w:val="left"/>
      </w:pPr>
      <w:r>
        <w:rPr>
          <w:rFonts w:ascii="Arial" w:cs="Arial" w:eastAsia="Arial" w:hAnsi="Arial"/>
          <w:color w:val="000000"/>
          <w:sz w:val="20"/>
          <w:szCs w:val="20"/>
        </w:rPr>
        <w:t xml:space="preserve">See Document 4 (Intellectual Property Assignment Agreement) for full terms. The key provisions are:</w:t>
      </w:r>
    </w:p>
    <w:p>
      <w:pPr>
        <w:pStyle w:val="ListParagraph"/>
        <w:numPr>
          <w:ilvl w:val="0"/>
          <w:numId w:val="2"/>
        </w:numPr>
        <w:spacing w:after="40" w:before="40"/>
      </w:pPr>
      <w:r>
        <w:rPr>
          <w:rFonts w:ascii="Arial" w:cs="Arial" w:eastAsia="Arial" w:hAnsi="Arial"/>
          <w:color w:val="000000"/>
          <w:sz w:val="20"/>
          <w:szCs w:val="20"/>
        </w:rPr>
        <w:t xml:space="preserve">All work product created in connection with any TDC project is assigned to TDC at the moment of creation</w:t>
      </w:r>
    </w:p>
    <w:p>
      <w:pPr>
        <w:pStyle w:val="ListParagraph"/>
        <w:numPr>
          <w:ilvl w:val="0"/>
          <w:numId w:val="2"/>
        </w:numPr>
        <w:spacing w:after="40" w:before="40"/>
      </w:pPr>
      <w:r>
        <w:rPr>
          <w:rFonts w:ascii="Arial" w:cs="Arial" w:eastAsia="Arial" w:hAnsi="Arial"/>
          <w:color w:val="000000"/>
          <w:sz w:val="20"/>
          <w:szCs w:val="20"/>
        </w:rPr>
        <w:t xml:space="preserve">Assignment is irrevocable, worldwide, perpetual, and covers all intellectual property rights</w:t>
      </w:r>
    </w:p>
    <w:p>
      <w:pPr>
        <w:pStyle w:val="ListParagraph"/>
        <w:numPr>
          <w:ilvl w:val="0"/>
          <w:numId w:val="2"/>
        </w:numPr>
        <w:spacing w:after="40" w:before="40"/>
      </w:pPr>
      <w:r>
        <w:rPr>
          <w:rFonts w:ascii="Arial" w:cs="Arial" w:eastAsia="Arial" w:hAnsi="Arial"/>
          <w:color w:val="000000"/>
          <w:sz w:val="20"/>
          <w:szCs w:val="20"/>
        </w:rPr>
        <w:t xml:space="preserve">No participant is compensated separately for IP assignment — the learning experience and recognition constitute sufficient consideration</w:t>
      </w:r>
    </w:p>
    <w:p>
      <w:pPr>
        <w:pStyle w:val="ListParagraph"/>
        <w:numPr>
          <w:ilvl w:val="0"/>
          <w:numId w:val="2"/>
        </w:numPr>
        <w:spacing w:after="40" w:before="40"/>
      </w:pPr>
      <w:r>
        <w:rPr>
          <w:rFonts w:ascii="Arial" w:cs="Arial" w:eastAsia="Arial" w:hAnsi="Arial"/>
          <w:color w:val="000000"/>
          <w:sz w:val="20"/>
          <w:szCs w:val="20"/>
        </w:rPr>
        <w:t xml:space="preserve">Participants may not use, fork, reproduce, or commercialise any TDC product without explicit written authorisation from the Supreme Authority</w:t>
      </w:r>
    </w:p>
    <w:p>
      <w:pPr>
        <w:pStyle w:val="Heading1"/>
        <w:pBdr>
          <w:bottom w:val="single" w:color="1A3C6E" w:sz="6"/>
        </w:pBdr>
        <w:spacing w:after="200" w:before="480"/>
      </w:pPr>
      <w:r>
        <w:rPr>
          <w:rFonts w:ascii="Arial" w:cs="Arial" w:eastAsia="Arial" w:hAnsi="Arial"/>
          <w:b/>
          <w:bCs/>
          <w:color w:val="1A3C6E"/>
          <w:sz w:val="34"/>
          <w:szCs w:val="34"/>
        </w:rPr>
        <w:t xml:space="preserve">6. Non-Employment and Non-Partnership Declaration</w:t>
      </w:r>
    </w:p>
    <w:p>
      <w:pPr>
        <w:spacing w:after="80" w:before="80"/>
        <w:jc w:val="left"/>
      </w:pPr>
      <w:r>
        <w:rPr>
          <w:rFonts w:ascii="Arial" w:cs="Arial" w:eastAsia="Arial" w:hAnsi="Arial"/>
          <w:color w:val="000000"/>
          <w:sz w:val="20"/>
          <w:szCs w:val="20"/>
        </w:rPr>
        <w:t xml:space="preserve">6.1  Participation in TDC does not constitute employment, internship (unless explicitly designated in writing), freelance engagement, partnership, co-founding arrangement, or any other form of commercial engagement that would give rise to statutory or contractual entitlements.</w:t>
      </w:r>
    </w:p>
    <w:p>
      <w:pPr>
        <w:spacing w:after="60" w:before="60"/>
      </w:pPr>
      <w:r>
        <w:t xml:space="preserve"/>
      </w:r>
    </w:p>
    <w:p>
      <w:pPr>
        <w:spacing w:after="80" w:before="80"/>
        <w:jc w:val="left"/>
      </w:pPr>
      <w:r>
        <w:rPr>
          <w:rFonts w:ascii="Arial" w:cs="Arial" w:eastAsia="Arial" w:hAnsi="Arial"/>
          <w:color w:val="000000"/>
          <w:sz w:val="20"/>
          <w:szCs w:val="20"/>
        </w:rPr>
        <w:t xml:space="preserve">6.2  TDC is not liable for income tax, provident fund, ESIC contributions, minimum wage obligations, overtime, benefits, insurance, or any other statutory employment obligations in respect of any participant's contributions.</w:t>
      </w:r>
    </w:p>
    <w:p>
      <w:pPr>
        <w:spacing w:after="60" w:before="60"/>
      </w:pPr>
      <w:r>
        <w:t xml:space="preserve"/>
      </w:r>
    </w:p>
    <w:p>
      <w:pPr>
        <w:spacing w:after="80" w:before="80"/>
        <w:jc w:val="left"/>
      </w:pPr>
      <w:r>
        <w:rPr>
          <w:rFonts w:ascii="Arial" w:cs="Arial" w:eastAsia="Arial" w:hAnsi="Arial"/>
          <w:color w:val="000000"/>
          <w:sz w:val="20"/>
          <w:szCs w:val="20"/>
        </w:rPr>
        <w:t xml:space="preserve">6.3  No participant may represent themselves as an employee, partner, co-founder, officer, or agent of TDC without prior written authorisation from the Supreme Authority. Unauthorised representation is a material breach subject to penalties under Document 3.</w:t>
      </w:r>
    </w:p>
    <w:p>
      <w:pPr>
        <w:pStyle w:val="Heading1"/>
        <w:pBdr>
          <w:bottom w:val="single" w:color="1A3C6E" w:sz="6"/>
        </w:pBdr>
        <w:spacing w:after="200" w:before="480"/>
      </w:pPr>
      <w:r>
        <w:rPr>
          <w:rFonts w:ascii="Arial" w:cs="Arial" w:eastAsia="Arial" w:hAnsi="Arial"/>
          <w:b/>
          <w:bCs/>
          <w:color w:val="1A3C6E"/>
          <w:sz w:val="34"/>
          <w:szCs w:val="34"/>
        </w:rPr>
        <w:t xml:space="preserve">7. Revenue Distribution</w:t>
      </w:r>
    </w:p>
    <w:p>
      <w:pPr>
        <w:spacing w:after="80" w:before="80"/>
        <w:jc w:val="left"/>
      </w:pPr>
      <w:r>
        <w:rPr>
          <w:rFonts w:ascii="Arial" w:cs="Arial" w:eastAsia="Arial" w:hAnsi="Arial"/>
          <w:color w:val="000000"/>
          <w:sz w:val="20"/>
          <w:szCs w:val="20"/>
        </w:rPr>
        <w:t xml:space="preserve">See Document 8 for the full Revenue Distribution and Participation Fee Policy. Revenue distribution is a discretionary benefit — not a legal right — and is entirely conditional on product performance thresholds as determined by TDC.</w:t>
      </w:r>
    </w:p>
    <w:p>
      <w:pPr>
        <w:pStyle w:val="Heading1"/>
        <w:pBdr>
          <w:bottom w:val="single" w:color="1A3C6E" w:sz="6"/>
        </w:pBdr>
        <w:spacing w:after="200" w:before="480"/>
      </w:pPr>
      <w:r>
        <w:rPr>
          <w:rFonts w:ascii="Arial" w:cs="Arial" w:eastAsia="Arial" w:hAnsi="Arial"/>
          <w:b/>
          <w:bCs/>
          <w:color w:val="1A3C6E"/>
          <w:sz w:val="34"/>
          <w:szCs w:val="34"/>
        </w:rPr>
        <w:t xml:space="preserve">8. Termination and Suspension</w:t>
      </w:r>
    </w:p>
    <w:p>
      <w:pPr>
        <w:spacing w:after="80" w:before="80"/>
        <w:jc w:val="left"/>
      </w:pPr>
      <w:r>
        <w:rPr>
          <w:rFonts w:ascii="Arial" w:cs="Arial" w:eastAsia="Arial" w:hAnsi="Arial"/>
          <w:color w:val="000000"/>
          <w:sz w:val="20"/>
          <w:szCs w:val="20"/>
        </w:rPr>
        <w:t xml:space="preserve">8.1  TDC may terminate or suspend any participant's membership, access, and participation at any time, with or without cause, at the sole discretion of the Supreme Authority.</w:t>
      </w:r>
    </w:p>
    <w:p>
      <w:pPr>
        <w:spacing w:after="60" w:before="60"/>
      </w:pPr>
      <w:r>
        <w:t xml:space="preserve"/>
      </w:r>
    </w:p>
    <w:p>
      <w:pPr>
        <w:spacing w:after="80" w:before="80"/>
        <w:jc w:val="left"/>
      </w:pPr>
      <w:r>
        <w:rPr>
          <w:rFonts w:ascii="Arial" w:cs="Arial" w:eastAsia="Arial" w:hAnsi="Arial"/>
          <w:color w:val="000000"/>
          <w:sz w:val="20"/>
          <w:szCs w:val="20"/>
        </w:rPr>
        <w:t xml:space="preserve">8.2  Upon termination for cause (including violation of any provision of this document package): all pending financial distributions are forfeited; all access to TDC systems is immediately revoked; completion letter issuance may be withheld at TDC's discretion; the participant remains bound by all IP assignment, confidentiality, and non-compete obligations in perpetuity.</w:t>
      </w:r>
    </w:p>
    <w:p>
      <w:pPr>
        <w:spacing w:after="60" w:before="60"/>
      </w:pPr>
      <w:r>
        <w:t xml:space="preserve"/>
      </w:r>
    </w:p>
    <w:p>
      <w:pPr>
        <w:spacing w:after="80" w:before="80"/>
        <w:jc w:val="left"/>
      </w:pPr>
      <w:r>
        <w:rPr>
          <w:rFonts w:ascii="Arial" w:cs="Arial" w:eastAsia="Arial" w:hAnsi="Arial"/>
          <w:color w:val="000000"/>
          <w:sz w:val="20"/>
          <w:szCs w:val="20"/>
        </w:rPr>
        <w:t xml:space="preserve">8.3  Voluntary withdrawal mid-project: participation fee (if paid) is forfeited; financial distribution entitlement is forfeited; IP assignment obligations survive.</w:t>
      </w:r>
    </w:p>
    <w:p>
      <w:pPr>
        <w:pStyle w:val="Heading1"/>
        <w:pBdr>
          <w:bottom w:val="single" w:color="1A3C6E" w:sz="6"/>
        </w:pBdr>
        <w:spacing w:after="200" w:before="480"/>
      </w:pPr>
      <w:r>
        <w:rPr>
          <w:rFonts w:ascii="Arial" w:cs="Arial" w:eastAsia="Arial" w:hAnsi="Arial"/>
          <w:b/>
          <w:bCs/>
          <w:color w:val="1A3C6E"/>
          <w:sz w:val="34"/>
          <w:szCs w:val="34"/>
        </w:rPr>
        <w:t xml:space="preserve">9. Amendments</w:t>
      </w:r>
    </w:p>
    <w:p>
      <w:pPr>
        <w:spacing w:after="80" w:before="80"/>
        <w:jc w:val="left"/>
      </w:pPr>
      <w:r>
        <w:rPr>
          <w:rFonts w:ascii="Arial" w:cs="Arial" w:eastAsia="Arial" w:hAnsi="Arial"/>
          <w:color w:val="000000"/>
          <w:sz w:val="20"/>
          <w:szCs w:val="20"/>
        </w:rPr>
        <w:t xml:space="preserve">TDC reserves the absolute right to amend, update, replace, or revoke any provision of these Terms or any document in this package at any time without prior notice. Continued participation after any amendment constitutes unconditional acceptance. TDC will post updated Terms on its platform. It is the participant's sole responsibility to review Terms regularly.</w:t>
      </w:r>
    </w:p>
    <w:p>
      <w:pPr>
        <w:pStyle w:val="Heading1"/>
        <w:pBdr>
          <w:bottom w:val="single" w:color="1A3C6E" w:sz="6"/>
        </w:pBdr>
        <w:spacing w:after="200" w:before="480"/>
      </w:pPr>
      <w:r>
        <w:rPr>
          <w:rFonts w:ascii="Arial" w:cs="Arial" w:eastAsia="Arial" w:hAnsi="Arial"/>
          <w:b/>
          <w:bCs/>
          <w:color w:val="1A3C6E"/>
          <w:sz w:val="34"/>
          <w:szCs w:val="34"/>
        </w:rPr>
        <w:t xml:space="preserve">10. Governing Law and Dispute Resolution</w:t>
      </w:r>
    </w:p>
    <w:p>
      <w:pPr>
        <w:spacing w:after="80" w:before="80"/>
        <w:jc w:val="left"/>
      </w:pPr>
      <w:r>
        <w:rPr>
          <w:rFonts w:ascii="Arial" w:cs="Arial" w:eastAsia="Arial" w:hAnsi="Arial"/>
          <w:color w:val="000000"/>
          <w:sz w:val="20"/>
          <w:szCs w:val="20"/>
        </w:rPr>
        <w:t xml:space="preserve">These Terms are governed by the laws of India. All disputes shall be first submitted to good-faith mediation. If mediation fails within 30 days, disputes shall proceed to binding arbitration under the Arbitration and Conciliation Act, 1996, seated in Bangalore, Karnataka. The language of arbitration shall be English. Each party bears its own costs unless the arbitral tribunal orders otherwise. Participants expressly waive the right to bring class or collective actions. All disputes are individual only.</w:t>
      </w:r>
    </w:p>
    <w:p>
      <w:r>
        <w:br w:type="page"/>
      </w:r>
    </w:p>
    <w:p>
      <w:pPr>
        <w:shd w:fill="0A1F44" w:val="clear"/>
        <w:spacing w:after="160" w:before="0"/>
        <w:jc w:val="center"/>
      </w:pPr>
      <w:r>
        <w:rPr>
          <w:rFonts w:ascii="Arial" w:cs="Arial" w:eastAsia="Arial" w:hAnsi="Arial"/>
          <w:b/>
          <w:bCs/>
          <w:color w:val="FFFFFF"/>
          <w:sz w:val="36"/>
          <w:szCs w:val="36"/>
        </w:rPr>
        <w:t xml:space="preserve">  DOCUMENT 2: SUPREME AUTHORITY &amp; GOVERNANCE CHARTER  </w:t>
      </w:r>
    </w:p>
    <w:p>
      <w:pPr>
        <w:spacing w:after="60" w:before="60"/>
      </w:pPr>
      <w:r>
        <w:rPr>
          <w:rFonts w:ascii="Arial" w:cs="Arial" w:eastAsia="Arial" w:hAnsi="Arial"/>
          <w:i/>
          <w:iCs/>
          <w:color w:val="444444"/>
          <w:sz w:val="19"/>
          <w:szCs w:val="19"/>
        </w:rPr>
        <w:t xml:space="preserve">This document defines the complete authority hierarchy of TDC and is binding on every participant without exception.</w:t>
      </w:r>
    </w:p>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1. Declaration of Founding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E00" w:sz="4"/>
              <w:left w:val="single" w:color="7B5E00" w:sz="4"/>
              <w:bottom w:val="single" w:color="7B5E00" w:sz="4"/>
              <w:right w:val="single" w:color="7B5E00" w:sz="4"/>
            </w:tcBorders>
            <w:shd w:fill="FFF8DC" w:val="clear"/>
            <w:tcMar>
              <w:top w:type="dxa" w:w="160"/>
              <w:left w:type="dxa" w:w="240"/>
              <w:bottom w:type="dxa" w:w="160"/>
              <w:right w:type="dxa" w:w="240"/>
            </w:tcMar>
          </w:tcPr>
          <w:p>
            <w:r>
              <w:rPr>
                <w:rFonts w:ascii="Arial" w:cs="Arial" w:eastAsia="Arial" w:hAnsi="Arial"/>
                <w:b/>
                <w:bCs/>
                <w:color w:val="7B5E00"/>
                <w:sz w:val="22"/>
                <w:szCs w:val="22"/>
              </w:rPr>
              <w:t xml:space="preserve">◆  ABSOLUTE FOUNDING AUTHORITY</w:t>
            </w:r>
          </w:p>
          <w:p>
            <w:r>
              <w:rPr>
                <w:rFonts w:ascii="Arial" w:cs="Arial" w:eastAsia="Arial" w:hAnsi="Arial"/>
                <w:color w:val="7B5E00"/>
                <w:sz w:val="20"/>
                <w:szCs w:val="20"/>
              </w:rPr>
              <w:t xml:space="preserve">The President / CEO / Director of The Developer Community holds supreme, absolute, and unconditional authority over all matters — operational, financial, strategic, legal, technical, administrative, and disciplinary — within TDC and all its products, platforms, and programmes. This authority is non-delegable in its totality and non-reviewable by any participant or member.</w:t>
            </w:r>
          </w:p>
        </w:tc>
      </w:tr>
    </w:tbl>
    <w:p>
      <w:pPr>
        <w:spacing w:after="60" w:before="60"/>
      </w:pPr>
      <w:r>
        <w:t xml:space="preserve"/>
      </w:r>
    </w:p>
    <w:p>
      <w:pPr>
        <w:spacing w:after="80" w:before="80"/>
        <w:jc w:val="left"/>
      </w:pPr>
      <w:r>
        <w:rPr>
          <w:rFonts w:ascii="Arial" w:cs="Arial" w:eastAsia="Arial" w:hAnsi="Arial"/>
          <w:color w:val="000000"/>
          <w:sz w:val="20"/>
          <w:szCs w:val="20"/>
        </w:rPr>
        <w:t xml:space="preserve">1.1  The founding authority is established by virtue of founding, building, and operationalising The Developer Community. This authority shall not be diminished, challenged, transferred, or overridden by any action, vote, petition, or purported agreement of any participant.</w:t>
      </w:r>
    </w:p>
    <w:p>
      <w:pPr>
        <w:spacing w:after="60" w:before="60"/>
      </w:pPr>
      <w:r>
        <w:t xml:space="preserve"/>
      </w:r>
    </w:p>
    <w:p>
      <w:pPr>
        <w:spacing w:after="80" w:before="80"/>
        <w:jc w:val="left"/>
      </w:pPr>
      <w:r>
        <w:rPr>
          <w:rFonts w:ascii="Arial" w:cs="Arial" w:eastAsia="Arial" w:hAnsi="Arial"/>
          <w:color w:val="000000"/>
          <w:sz w:val="20"/>
          <w:szCs w:val="20"/>
        </w:rPr>
        <w:t xml:space="preserve">1.2  Any attempt by any participant, member, contributor, or external party to challenge, undermine, circumvent, or interfere with the Supreme Authority's governance of TDC — including through legal proceedings, public statements, social media, or collective action — shall constitute a material breach of these Terms and shall trigger all available legal remedies and penalties.</w:t>
      </w:r>
    </w:p>
    <w:p>
      <w:pPr>
        <w:pStyle w:val="Heading1"/>
        <w:pBdr>
          <w:bottom w:val="single" w:color="1A3C6E" w:sz="6"/>
        </w:pBdr>
        <w:spacing w:after="200" w:before="480"/>
      </w:pPr>
      <w:r>
        <w:rPr>
          <w:rFonts w:ascii="Arial" w:cs="Arial" w:eastAsia="Arial" w:hAnsi="Arial"/>
          <w:b/>
          <w:bCs/>
          <w:color w:val="1A3C6E"/>
          <w:sz w:val="34"/>
          <w:szCs w:val="34"/>
        </w:rPr>
        <w:t xml:space="preserve">2. Decision-Making Hierarchy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AUTHORITY SCOPE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1 (Supreme)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President / CEO / Director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decisions — final, unilateral, unreviewable. Overrides all other tiers at any time for any reason.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Committee (COO, CTO, CMO, CSO)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Operational execution within scope explicitly delegated by Tier 1. No authority to override Tier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Leads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management within scope explicitly delegated by Tier 2. No authority beyond their assigned project.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Subsystem Leads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Technical coordination within assigned subsystem only. No cross-project or platform authority.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Contributors / Freshers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 execution as assigned. No organisational authority whatsoever.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Advisory 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Guidance and mentorship only. No decision-making authority or binding influence.</w:t>
            </w:r>
          </w:p>
        </w:tc>
      </w:tr>
    </w:tbl>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3. Mandatory Approval Requirements</w:t>
      </w:r>
    </w:p>
    <w:p>
      <w:pPr>
        <w:shd w:fill="0A1F44" w:val="clear"/>
        <w:spacing w:after="160" w:before="200"/>
      </w:pPr>
      <w:r>
        <w:rPr>
          <w:rFonts w:ascii="Arial" w:cs="Arial" w:eastAsia="Arial" w:hAnsi="Arial"/>
          <w:b/>
          <w:bCs/>
          <w:color w:val="FFFFFF"/>
          <w:sz w:val="24"/>
          <w:szCs w:val="24"/>
        </w:rPr>
        <w:t xml:space="preserve">    ALL OF THE FOLLOWING REQUIRE PRIOR WRITTEN APPROVAL FROM TIER 1 OR DELEGATED TIER 2    </w:t>
      </w:r>
    </w:p>
    <w:p>
      <w:pPr>
        <w:spacing w:after="60" w:before="60"/>
      </w:pPr>
      <w:r>
        <w:t xml:space="preserve"/>
      </w:r>
    </w:p>
    <w:p>
      <w:pPr>
        <w:spacing w:after="80" w:before="80"/>
        <w:jc w:val="left"/>
      </w:pPr>
      <w:r>
        <w:rPr>
          <w:rFonts w:ascii="Arial" w:cs="Arial" w:eastAsia="Arial" w:hAnsi="Arial"/>
          <w:color w:val="000000"/>
          <w:sz w:val="20"/>
          <w:szCs w:val="20"/>
        </w:rPr>
        <w:t xml:space="preserve">No participant at any level may take any of the following actions without prior written approval from the President/CEO/Director or an explicitly authorised Tier 2 officer. Taking any such action without approval constitutes an Unauthorised Action and is subject to the penalties in Document 3:</w:t>
      </w:r>
    </w:p>
    <w:p>
      <w:pPr>
        <w:spacing w:after="60" w:before="60"/>
      </w:pPr>
      <w:r>
        <w:t xml:space="preserve"/>
      </w:r>
    </w:p>
    <w:p>
      <w:pPr>
        <w:spacing w:after="80" w:before="200"/>
      </w:pPr>
      <w:r>
        <w:rPr>
          <w:rFonts w:ascii="Arial" w:cs="Arial" w:eastAsia="Arial" w:hAnsi="Arial"/>
          <w:b/>
          <w:bCs/>
          <w:color w:val="444444"/>
          <w:sz w:val="22"/>
          <w:szCs w:val="22"/>
        </w:rPr>
        <w:t xml:space="preserve">3.1 Financial Actions</w:t>
      </w:r>
    </w:p>
    <w:p>
      <w:pPr>
        <w:pStyle w:val="ListParagraph"/>
        <w:numPr>
          <w:ilvl w:val="0"/>
          <w:numId w:val="2"/>
        </w:numPr>
        <w:spacing w:after="40" w:before="40"/>
      </w:pPr>
      <w:r>
        <w:rPr>
          <w:rFonts w:ascii="Arial" w:cs="Arial" w:eastAsia="Arial" w:hAnsi="Arial"/>
          <w:color w:val="000000"/>
          <w:sz w:val="20"/>
          <w:szCs w:val="20"/>
        </w:rPr>
        <w:t xml:space="preserve">Committing to any expenditure or financial obligation on behalf of TDC, regardless of amount</w:t>
      </w:r>
    </w:p>
    <w:p>
      <w:pPr>
        <w:pStyle w:val="ListParagraph"/>
        <w:numPr>
          <w:ilvl w:val="0"/>
          <w:numId w:val="2"/>
        </w:numPr>
        <w:spacing w:after="40" w:before="40"/>
      </w:pPr>
      <w:r>
        <w:rPr>
          <w:rFonts w:ascii="Arial" w:cs="Arial" w:eastAsia="Arial" w:hAnsi="Arial"/>
          <w:color w:val="000000"/>
          <w:sz w:val="20"/>
          <w:szCs w:val="20"/>
        </w:rPr>
        <w:t xml:space="preserve">Opening, accessing, or transacting on any bank account, payment gateway, or financial instrument in TDC's name</w:t>
      </w:r>
    </w:p>
    <w:p>
      <w:pPr>
        <w:pStyle w:val="ListParagraph"/>
        <w:numPr>
          <w:ilvl w:val="0"/>
          <w:numId w:val="2"/>
        </w:numPr>
        <w:spacing w:after="40" w:before="40"/>
      </w:pPr>
      <w:r>
        <w:rPr>
          <w:rFonts w:ascii="Arial" w:cs="Arial" w:eastAsia="Arial" w:hAnsi="Arial"/>
          <w:color w:val="000000"/>
          <w:sz w:val="20"/>
          <w:szCs w:val="20"/>
        </w:rPr>
        <w:t xml:space="preserve">Signing or accepting any financial contract, invoice, purchase order, or vendor agreement</w:t>
      </w:r>
    </w:p>
    <w:p>
      <w:pPr>
        <w:pStyle w:val="ListParagraph"/>
        <w:numPr>
          <w:ilvl w:val="0"/>
          <w:numId w:val="2"/>
        </w:numPr>
        <w:spacing w:after="40" w:before="40"/>
      </w:pPr>
      <w:r>
        <w:rPr>
          <w:rFonts w:ascii="Arial" w:cs="Arial" w:eastAsia="Arial" w:hAnsi="Arial"/>
          <w:color w:val="000000"/>
          <w:sz w:val="20"/>
          <w:szCs w:val="20"/>
        </w:rPr>
        <w:t xml:space="preserve">Applying for funding, grants, or investment on behalf of TDC</w:t>
      </w:r>
    </w:p>
    <w:p>
      <w:pPr>
        <w:pStyle w:val="ListParagraph"/>
        <w:numPr>
          <w:ilvl w:val="0"/>
          <w:numId w:val="2"/>
        </w:numPr>
        <w:spacing w:after="40" w:before="40"/>
      </w:pPr>
      <w:r>
        <w:rPr>
          <w:rFonts w:ascii="Arial" w:cs="Arial" w:eastAsia="Arial" w:hAnsi="Arial"/>
          <w:color w:val="000000"/>
          <w:sz w:val="20"/>
          <w:szCs w:val="20"/>
        </w:rPr>
        <w:t xml:space="preserve">Disclosing TDC financial data, revenue figures, or cost structures to any external party</w:t>
      </w:r>
    </w:p>
    <w:p>
      <w:pPr>
        <w:pStyle w:val="ListParagraph"/>
        <w:numPr>
          <w:ilvl w:val="0"/>
          <w:numId w:val="2"/>
        </w:numPr>
        <w:spacing w:after="40" w:before="40"/>
      </w:pPr>
      <w:r>
        <w:rPr>
          <w:rFonts w:ascii="Arial" w:cs="Arial" w:eastAsia="Arial" w:hAnsi="Arial"/>
          <w:color w:val="000000"/>
          <w:sz w:val="20"/>
          <w:szCs w:val="20"/>
        </w:rPr>
        <w:t xml:space="preserve">Collecting fees or payments from participants, users, or third parties on behalf of TDC</w:t>
      </w:r>
    </w:p>
    <w:p>
      <w:pPr>
        <w:pStyle w:val="ListParagraph"/>
        <w:numPr>
          <w:ilvl w:val="0"/>
          <w:numId w:val="2"/>
        </w:numPr>
        <w:spacing w:after="40" w:before="40"/>
      </w:pPr>
      <w:r>
        <w:rPr>
          <w:rFonts w:ascii="Arial" w:cs="Arial" w:eastAsia="Arial" w:hAnsi="Arial"/>
          <w:color w:val="000000"/>
          <w:sz w:val="20"/>
          <w:szCs w:val="20"/>
        </w:rPr>
        <w:t xml:space="preserve">Making any promise or representation of financial return to any participant or external party</w:t>
      </w:r>
    </w:p>
    <w:p>
      <w:pPr>
        <w:spacing w:after="80" w:before="200"/>
      </w:pPr>
      <w:r>
        <w:rPr>
          <w:rFonts w:ascii="Arial" w:cs="Arial" w:eastAsia="Arial" w:hAnsi="Arial"/>
          <w:b/>
          <w:bCs/>
          <w:color w:val="444444"/>
          <w:sz w:val="22"/>
          <w:szCs w:val="22"/>
        </w:rPr>
        <w:t xml:space="preserve">3.2 Legal and Contractual Actions</w:t>
      </w:r>
    </w:p>
    <w:p>
      <w:pPr>
        <w:pStyle w:val="ListParagraph"/>
        <w:numPr>
          <w:ilvl w:val="0"/>
          <w:numId w:val="2"/>
        </w:numPr>
        <w:spacing w:after="40" w:before="40"/>
      </w:pPr>
      <w:r>
        <w:rPr>
          <w:rFonts w:ascii="Arial" w:cs="Arial" w:eastAsia="Arial" w:hAnsi="Arial"/>
          <w:color w:val="000000"/>
          <w:sz w:val="20"/>
          <w:szCs w:val="20"/>
        </w:rPr>
        <w:t xml:space="preserve">Signing, executing, accepting, or agreeing to any contract, agreement, MoU, NDA, or legal instrument on behalf of TDC</w:t>
      </w:r>
    </w:p>
    <w:p>
      <w:pPr>
        <w:pStyle w:val="ListParagraph"/>
        <w:numPr>
          <w:ilvl w:val="0"/>
          <w:numId w:val="2"/>
        </w:numPr>
        <w:spacing w:after="40" w:before="40"/>
      </w:pPr>
      <w:r>
        <w:rPr>
          <w:rFonts w:ascii="Arial" w:cs="Arial" w:eastAsia="Arial" w:hAnsi="Arial"/>
          <w:color w:val="000000"/>
          <w:sz w:val="20"/>
          <w:szCs w:val="20"/>
        </w:rPr>
        <w:t xml:space="preserve">Representing TDC in any legal proceeding, regulatory inquiry, or government interaction</w:t>
      </w:r>
    </w:p>
    <w:p>
      <w:pPr>
        <w:pStyle w:val="ListParagraph"/>
        <w:numPr>
          <w:ilvl w:val="0"/>
          <w:numId w:val="2"/>
        </w:numPr>
        <w:spacing w:after="40" w:before="40"/>
      </w:pPr>
      <w:r>
        <w:rPr>
          <w:rFonts w:ascii="Arial" w:cs="Arial" w:eastAsia="Arial" w:hAnsi="Arial"/>
          <w:color w:val="000000"/>
          <w:sz w:val="20"/>
          <w:szCs w:val="20"/>
        </w:rPr>
        <w:t xml:space="preserve">Filing or responding to any trademark, copyright, patent, or IP registration or dispute</w:t>
      </w:r>
    </w:p>
    <w:p>
      <w:pPr>
        <w:pStyle w:val="ListParagraph"/>
        <w:numPr>
          <w:ilvl w:val="0"/>
          <w:numId w:val="2"/>
        </w:numPr>
        <w:spacing w:after="40" w:before="40"/>
      </w:pPr>
      <w:r>
        <w:rPr>
          <w:rFonts w:ascii="Arial" w:cs="Arial" w:eastAsia="Arial" w:hAnsi="Arial"/>
          <w:color w:val="000000"/>
          <w:sz w:val="20"/>
          <w:szCs w:val="20"/>
        </w:rPr>
        <w:t xml:space="preserve">Accepting or making any settlement, offer, or compromise in any dispute involving TDC</w:t>
      </w:r>
    </w:p>
    <w:p>
      <w:pPr>
        <w:pStyle w:val="ListParagraph"/>
        <w:numPr>
          <w:ilvl w:val="0"/>
          <w:numId w:val="2"/>
        </w:numPr>
        <w:spacing w:after="40" w:before="40"/>
      </w:pPr>
      <w:r>
        <w:rPr>
          <w:rFonts w:ascii="Arial" w:cs="Arial" w:eastAsia="Arial" w:hAnsi="Arial"/>
          <w:color w:val="000000"/>
          <w:sz w:val="20"/>
          <w:szCs w:val="20"/>
        </w:rPr>
        <w:t xml:space="preserve">Communicating with any law enforcement, regulatory authority, or government body on TDC's behalf</w:t>
      </w:r>
    </w:p>
    <w:p>
      <w:pPr>
        <w:spacing w:after="80" w:before="200"/>
      </w:pPr>
      <w:r>
        <w:rPr>
          <w:rFonts w:ascii="Arial" w:cs="Arial" w:eastAsia="Arial" w:hAnsi="Arial"/>
          <w:b/>
          <w:bCs/>
          <w:color w:val="444444"/>
          <w:sz w:val="22"/>
          <w:szCs w:val="22"/>
        </w:rPr>
        <w:t xml:space="preserve">3.3 Membership and Personnel Actions</w:t>
      </w:r>
    </w:p>
    <w:p>
      <w:pPr>
        <w:pStyle w:val="ListParagraph"/>
        <w:numPr>
          <w:ilvl w:val="0"/>
          <w:numId w:val="2"/>
        </w:numPr>
        <w:spacing w:after="40" w:before="40"/>
      </w:pPr>
      <w:r>
        <w:rPr>
          <w:rFonts w:ascii="Arial" w:cs="Arial" w:eastAsia="Arial" w:hAnsi="Arial"/>
          <w:color w:val="000000"/>
          <w:sz w:val="20"/>
          <w:szCs w:val="20"/>
        </w:rPr>
        <w:t xml:space="preserve">Admitting, recruiting, or promising membership or roles to any new participant</w:t>
      </w:r>
    </w:p>
    <w:p>
      <w:pPr>
        <w:pStyle w:val="ListParagraph"/>
        <w:numPr>
          <w:ilvl w:val="0"/>
          <w:numId w:val="2"/>
        </w:numPr>
        <w:spacing w:after="40" w:before="40"/>
      </w:pPr>
      <w:r>
        <w:rPr>
          <w:rFonts w:ascii="Arial" w:cs="Arial" w:eastAsia="Arial" w:hAnsi="Arial"/>
          <w:color w:val="000000"/>
          <w:sz w:val="20"/>
          <w:szCs w:val="20"/>
        </w:rPr>
        <w:t xml:space="preserve">Assigning, changing, or revoking roles, responsibilities, or project assignments for any participant</w:t>
      </w:r>
    </w:p>
    <w:p>
      <w:pPr>
        <w:pStyle w:val="ListParagraph"/>
        <w:numPr>
          <w:ilvl w:val="0"/>
          <w:numId w:val="2"/>
        </w:numPr>
        <w:spacing w:after="40" w:before="40"/>
      </w:pPr>
      <w:r>
        <w:rPr>
          <w:rFonts w:ascii="Arial" w:cs="Arial" w:eastAsia="Arial" w:hAnsi="Arial"/>
          <w:color w:val="000000"/>
          <w:sz w:val="20"/>
          <w:szCs w:val="20"/>
        </w:rPr>
        <w:t xml:space="preserve">Issuing, withholding, or modifying completion letters or any official TDC documentation</w:t>
      </w:r>
    </w:p>
    <w:p>
      <w:pPr>
        <w:pStyle w:val="ListParagraph"/>
        <w:numPr>
          <w:ilvl w:val="0"/>
          <w:numId w:val="2"/>
        </w:numPr>
        <w:spacing w:after="40" w:before="40"/>
      </w:pPr>
      <w:r>
        <w:rPr>
          <w:rFonts w:ascii="Arial" w:cs="Arial" w:eastAsia="Arial" w:hAnsi="Arial"/>
          <w:color w:val="000000"/>
          <w:sz w:val="20"/>
          <w:szCs w:val="20"/>
        </w:rPr>
        <w:t xml:space="preserve">Removing or suspending any participant from TDC</w:t>
      </w:r>
    </w:p>
    <w:p>
      <w:pPr>
        <w:pStyle w:val="ListParagraph"/>
        <w:numPr>
          <w:ilvl w:val="0"/>
          <w:numId w:val="2"/>
        </w:numPr>
        <w:spacing w:after="40" w:before="40"/>
      </w:pPr>
      <w:r>
        <w:rPr>
          <w:rFonts w:ascii="Arial" w:cs="Arial" w:eastAsia="Arial" w:hAnsi="Arial"/>
          <w:color w:val="000000"/>
          <w:sz w:val="20"/>
          <w:szCs w:val="20"/>
        </w:rPr>
        <w:t xml:space="preserve">Making any representations to participants about their eligibility for financial distribution</w:t>
      </w:r>
    </w:p>
    <w:p>
      <w:pPr>
        <w:pStyle w:val="ListParagraph"/>
        <w:numPr>
          <w:ilvl w:val="0"/>
          <w:numId w:val="2"/>
        </w:numPr>
        <w:spacing w:after="40" w:before="40"/>
      </w:pPr>
      <w:r>
        <w:rPr>
          <w:rFonts w:ascii="Arial" w:cs="Arial" w:eastAsia="Arial" w:hAnsi="Arial"/>
          <w:color w:val="000000"/>
          <w:sz w:val="20"/>
          <w:szCs w:val="20"/>
        </w:rPr>
        <w:t xml:space="preserve">Forming or dissolving any team, committee, or working group within TDC</w:t>
      </w:r>
    </w:p>
    <w:p>
      <w:pPr>
        <w:spacing w:after="80" w:before="200"/>
      </w:pPr>
      <w:r>
        <w:rPr>
          <w:rFonts w:ascii="Arial" w:cs="Arial" w:eastAsia="Arial" w:hAnsi="Arial"/>
          <w:b/>
          <w:bCs/>
          <w:color w:val="444444"/>
          <w:sz w:val="22"/>
          <w:szCs w:val="22"/>
        </w:rPr>
        <w:t xml:space="preserve">3.4 Product and Technical Actions</w:t>
      </w:r>
    </w:p>
    <w:p>
      <w:pPr>
        <w:pStyle w:val="ListParagraph"/>
        <w:numPr>
          <w:ilvl w:val="0"/>
          <w:numId w:val="2"/>
        </w:numPr>
        <w:spacing w:after="40" w:before="40"/>
      </w:pPr>
      <w:r>
        <w:rPr>
          <w:rFonts w:ascii="Arial" w:cs="Arial" w:eastAsia="Arial" w:hAnsi="Arial"/>
          <w:color w:val="000000"/>
          <w:sz w:val="20"/>
          <w:szCs w:val="20"/>
        </w:rPr>
        <w:t xml:space="preserve">Launching, deploying, or taking offline any TDC product, website, or application</w:t>
      </w:r>
    </w:p>
    <w:p>
      <w:pPr>
        <w:pStyle w:val="ListParagraph"/>
        <w:numPr>
          <w:ilvl w:val="0"/>
          <w:numId w:val="2"/>
        </w:numPr>
        <w:spacing w:after="40" w:before="40"/>
      </w:pPr>
      <w:r>
        <w:rPr>
          <w:rFonts w:ascii="Arial" w:cs="Arial" w:eastAsia="Arial" w:hAnsi="Arial"/>
          <w:color w:val="000000"/>
          <w:sz w:val="20"/>
          <w:szCs w:val="20"/>
        </w:rPr>
        <w:t xml:space="preserve">Granting or revoking any third-party access to TDC codebases, databases, or infrastructure</w:t>
      </w:r>
    </w:p>
    <w:p>
      <w:pPr>
        <w:pStyle w:val="ListParagraph"/>
        <w:numPr>
          <w:ilvl w:val="0"/>
          <w:numId w:val="2"/>
        </w:numPr>
        <w:spacing w:after="40" w:before="40"/>
      </w:pPr>
      <w:r>
        <w:rPr>
          <w:rFonts w:ascii="Arial" w:cs="Arial" w:eastAsia="Arial" w:hAnsi="Arial"/>
          <w:color w:val="000000"/>
          <w:sz w:val="20"/>
          <w:szCs w:val="20"/>
        </w:rPr>
        <w:t xml:space="preserve">Entering into any API integration, partnership, or technical agreement with any third party</w:t>
      </w:r>
    </w:p>
    <w:p>
      <w:pPr>
        <w:pStyle w:val="ListParagraph"/>
        <w:numPr>
          <w:ilvl w:val="0"/>
          <w:numId w:val="2"/>
        </w:numPr>
        <w:spacing w:after="40" w:before="40"/>
      </w:pPr>
      <w:r>
        <w:rPr>
          <w:rFonts w:ascii="Arial" w:cs="Arial" w:eastAsia="Arial" w:hAnsi="Arial"/>
          <w:color w:val="000000"/>
          <w:sz w:val="20"/>
          <w:szCs w:val="20"/>
        </w:rPr>
        <w:t xml:space="preserve">Making any product public, removing it from public access, or altering its availability</w:t>
      </w:r>
    </w:p>
    <w:p>
      <w:pPr>
        <w:pStyle w:val="ListParagraph"/>
        <w:numPr>
          <w:ilvl w:val="0"/>
          <w:numId w:val="2"/>
        </w:numPr>
        <w:spacing w:after="40" w:before="40"/>
      </w:pPr>
      <w:r>
        <w:rPr>
          <w:rFonts w:ascii="Arial" w:cs="Arial" w:eastAsia="Arial" w:hAnsi="Arial"/>
          <w:color w:val="000000"/>
          <w:sz w:val="20"/>
          <w:szCs w:val="20"/>
        </w:rPr>
        <w:t xml:space="preserve">Changing the branding, name, domain, or identity of any TDC product</w:t>
      </w:r>
    </w:p>
    <w:p>
      <w:pPr>
        <w:pStyle w:val="ListParagraph"/>
        <w:numPr>
          <w:ilvl w:val="0"/>
          <w:numId w:val="2"/>
        </w:numPr>
        <w:spacing w:after="40" w:before="40"/>
      </w:pPr>
      <w:r>
        <w:rPr>
          <w:rFonts w:ascii="Arial" w:cs="Arial" w:eastAsia="Arial" w:hAnsi="Arial"/>
          <w:color w:val="000000"/>
          <w:sz w:val="20"/>
          <w:szCs w:val="20"/>
        </w:rPr>
        <w:t xml:space="preserve">Authorising the use of TDC's name, logo, or brand in any external communication or publication</w:t>
      </w:r>
    </w:p>
    <w:p>
      <w:pPr>
        <w:spacing w:after="80" w:before="200"/>
      </w:pPr>
      <w:r>
        <w:rPr>
          <w:rFonts w:ascii="Arial" w:cs="Arial" w:eastAsia="Arial" w:hAnsi="Arial"/>
          <w:b/>
          <w:bCs/>
          <w:color w:val="444444"/>
          <w:sz w:val="22"/>
          <w:szCs w:val="22"/>
        </w:rPr>
        <w:t xml:space="preserve">3.5 Strategic and Reputational Actions</w:t>
      </w:r>
    </w:p>
    <w:p>
      <w:pPr>
        <w:pStyle w:val="ListParagraph"/>
        <w:numPr>
          <w:ilvl w:val="0"/>
          <w:numId w:val="2"/>
        </w:numPr>
        <w:spacing w:after="40" w:before="40"/>
      </w:pPr>
      <w:r>
        <w:rPr>
          <w:rFonts w:ascii="Arial" w:cs="Arial" w:eastAsia="Arial" w:hAnsi="Arial"/>
          <w:color w:val="000000"/>
          <w:sz w:val="20"/>
          <w:szCs w:val="20"/>
        </w:rPr>
        <w:t xml:space="preserve">Making any public statement, press release, or media communication on behalf of TDC</w:t>
      </w:r>
    </w:p>
    <w:p>
      <w:pPr>
        <w:pStyle w:val="ListParagraph"/>
        <w:numPr>
          <w:ilvl w:val="0"/>
          <w:numId w:val="2"/>
        </w:numPr>
        <w:spacing w:after="40" w:before="40"/>
      </w:pPr>
      <w:r>
        <w:rPr>
          <w:rFonts w:ascii="Arial" w:cs="Arial" w:eastAsia="Arial" w:hAnsi="Arial"/>
          <w:color w:val="000000"/>
          <w:sz w:val="20"/>
          <w:szCs w:val="20"/>
        </w:rPr>
        <w:t xml:space="preserve">Representing TDC at any external event, conference, or meeting without prior authorisation</w:t>
      </w:r>
    </w:p>
    <w:p>
      <w:pPr>
        <w:pStyle w:val="ListParagraph"/>
        <w:numPr>
          <w:ilvl w:val="0"/>
          <w:numId w:val="2"/>
        </w:numPr>
        <w:spacing w:after="40" w:before="40"/>
      </w:pPr>
      <w:r>
        <w:rPr>
          <w:rFonts w:ascii="Arial" w:cs="Arial" w:eastAsia="Arial" w:hAnsi="Arial"/>
          <w:color w:val="000000"/>
          <w:sz w:val="20"/>
          <w:szCs w:val="20"/>
        </w:rPr>
        <w:t xml:space="preserve">Disclosing TDC's strategy, roadmap, product plans, or competitive intelligence to any external party</w:t>
      </w:r>
    </w:p>
    <w:p>
      <w:pPr>
        <w:pStyle w:val="ListParagraph"/>
        <w:numPr>
          <w:ilvl w:val="0"/>
          <w:numId w:val="2"/>
        </w:numPr>
        <w:spacing w:after="40" w:before="40"/>
      </w:pPr>
      <w:r>
        <w:rPr>
          <w:rFonts w:ascii="Arial" w:cs="Arial" w:eastAsia="Arial" w:hAnsi="Arial"/>
          <w:color w:val="000000"/>
          <w:sz w:val="20"/>
          <w:szCs w:val="20"/>
        </w:rPr>
        <w:t xml:space="preserve">Forming any partnership, collaboration, or alliance in TDC's name with any external entity</w:t>
      </w:r>
    </w:p>
    <w:p>
      <w:pPr>
        <w:pStyle w:val="ListParagraph"/>
        <w:numPr>
          <w:ilvl w:val="0"/>
          <w:numId w:val="2"/>
        </w:numPr>
        <w:spacing w:after="40" w:before="40"/>
      </w:pPr>
      <w:r>
        <w:rPr>
          <w:rFonts w:ascii="Arial" w:cs="Arial" w:eastAsia="Arial" w:hAnsi="Arial"/>
          <w:color w:val="000000"/>
          <w:sz w:val="20"/>
          <w:szCs w:val="20"/>
        </w:rPr>
        <w:t xml:space="preserve">Posting on any social media, forum, or public channel in TDC's name or on TDC's behalf</w:t>
      </w:r>
    </w:p>
    <w:p>
      <w:pPr>
        <w:pStyle w:val="Heading1"/>
        <w:pBdr>
          <w:bottom w:val="single" w:color="1A3C6E" w:sz="6"/>
        </w:pBdr>
        <w:spacing w:after="200" w:before="480"/>
      </w:pPr>
      <w:r>
        <w:rPr>
          <w:rFonts w:ascii="Arial" w:cs="Arial" w:eastAsia="Arial" w:hAnsi="Arial"/>
          <w:b/>
          <w:bCs/>
          <w:color w:val="1A3C6E"/>
          <w:sz w:val="34"/>
          <w:szCs w:val="34"/>
        </w:rPr>
        <w:t xml:space="preserve">4. Delegation Protocol</w:t>
      </w:r>
    </w:p>
    <w:p>
      <w:pPr>
        <w:spacing w:after="80" w:before="80"/>
        <w:jc w:val="left"/>
      </w:pPr>
      <w:r>
        <w:rPr>
          <w:rFonts w:ascii="Arial" w:cs="Arial" w:eastAsia="Arial" w:hAnsi="Arial"/>
          <w:color w:val="000000"/>
          <w:sz w:val="20"/>
          <w:szCs w:val="20"/>
        </w:rPr>
        <w:t xml:space="preserve">4.1  The Supreme Authority may delegate specific, time-limited, and scope-limited authority to Tier 2 officers in writing. Such delegation does not diminish the Supreme Authority's right to override, revoke, or re-assume any delegated authority at any time.</w:t>
      </w:r>
    </w:p>
    <w:p>
      <w:pPr>
        <w:spacing w:after="60" w:before="60"/>
      </w:pPr>
      <w:r>
        <w:t xml:space="preserve"/>
      </w:r>
    </w:p>
    <w:p>
      <w:pPr>
        <w:spacing w:after="80" w:before="80"/>
        <w:jc w:val="left"/>
      </w:pPr>
      <w:r>
        <w:rPr>
          <w:rFonts w:ascii="Arial" w:cs="Arial" w:eastAsia="Arial" w:hAnsi="Arial"/>
          <w:color w:val="000000"/>
          <w:sz w:val="20"/>
          <w:szCs w:val="20"/>
        </w:rPr>
        <w:t xml:space="preserve">4.2  Tier 2 officers may sub-delegate limited authority to Project Leads only with prior written approval from the Supreme Authority. Sub-delegation must be documented and communicated to all relevant parties.</w:t>
      </w:r>
    </w:p>
    <w:p>
      <w:pPr>
        <w:spacing w:after="60" w:before="60"/>
      </w:pPr>
      <w:r>
        <w:t xml:space="preserve"/>
      </w:r>
    </w:p>
    <w:p>
      <w:pPr>
        <w:spacing w:after="80" w:before="80"/>
        <w:jc w:val="left"/>
      </w:pPr>
      <w:r>
        <w:rPr>
          <w:rFonts w:ascii="Arial" w:cs="Arial" w:eastAsia="Arial" w:hAnsi="Arial"/>
          <w:color w:val="000000"/>
          <w:sz w:val="20"/>
          <w:szCs w:val="20"/>
        </w:rPr>
        <w:t xml:space="preserve">4.3  Verbal delegations are not valid. All delegations must be confirmed in writing (including electronic written communication from an authenticated TDC leadership account).</w:t>
      </w:r>
    </w:p>
    <w:p>
      <w:pPr>
        <w:spacing w:after="60" w:before="60"/>
      </w:pPr>
      <w:r>
        <w:t xml:space="preserve"/>
      </w:r>
    </w:p>
    <w:p>
      <w:pPr>
        <w:spacing w:after="80" w:before="80"/>
        <w:jc w:val="left"/>
      </w:pPr>
      <w:r>
        <w:rPr>
          <w:rFonts w:ascii="Arial" w:cs="Arial" w:eastAsia="Arial" w:hAnsi="Arial"/>
          <w:color w:val="000000"/>
          <w:sz w:val="20"/>
          <w:szCs w:val="20"/>
        </w:rPr>
        <w:t xml:space="preserve">4.4  Any participant who claims to have received oral authority to take a Mandatory Approval action bears the full burden of proving such delegation. Absence of written proof means the action is presumed unauthorised.</w:t>
      </w:r>
    </w:p>
    <w:p>
      <w:pPr>
        <w:pStyle w:val="Heading1"/>
        <w:pBdr>
          <w:bottom w:val="single" w:color="1A3C6E" w:sz="6"/>
        </w:pBdr>
        <w:spacing w:after="200" w:before="480"/>
      </w:pPr>
      <w:r>
        <w:rPr>
          <w:rFonts w:ascii="Arial" w:cs="Arial" w:eastAsia="Arial" w:hAnsi="Arial"/>
          <w:b/>
          <w:bCs/>
          <w:color w:val="1A3C6E"/>
          <w:sz w:val="34"/>
          <w:szCs w:val="34"/>
        </w:rPr>
        <w:t xml:space="preserve">5. Protection of the Supreme Authority</w:t>
      </w:r>
    </w:p>
    <w:p>
      <w:pPr>
        <w:shd w:fill="0A1F44" w:val="clear"/>
        <w:spacing w:after="160" w:before="200"/>
      </w:pPr>
      <w:r>
        <w:rPr>
          <w:rFonts w:ascii="Arial" w:cs="Arial" w:eastAsia="Arial" w:hAnsi="Arial"/>
          <w:b/>
          <w:bCs/>
          <w:color w:val="FFFFFF"/>
          <w:sz w:val="24"/>
          <w:szCs w:val="24"/>
        </w:rPr>
        <w:t xml:space="preserve">    PERSONAL PROTECTION PROVISIONS — CEO / PRESIDENT / DIRECTOR    </w:t>
      </w:r>
    </w:p>
    <w:p>
      <w:pPr>
        <w:spacing w:after="60" w:before="60"/>
      </w:pPr>
      <w:r>
        <w:t xml:space="preserve"/>
      </w:r>
    </w:p>
    <w:p>
      <w:pPr>
        <w:spacing w:after="80" w:before="80"/>
        <w:jc w:val="left"/>
      </w:pPr>
      <w:r>
        <w:rPr>
          <w:rFonts w:ascii="Arial" w:cs="Arial" w:eastAsia="Arial" w:hAnsi="Arial"/>
          <w:color w:val="000000"/>
          <w:sz w:val="20"/>
          <w:szCs w:val="20"/>
        </w:rPr>
        <w:t xml:space="preserve">5.1  No participant, member, contributor, or external party may initiate, encourage, support, or participate in any legal action, regulatory complaint, or public campaign that targets the President/CEO/Director personally in connection with their legitimate exercise of authority over TDC.</w:t>
      </w:r>
    </w:p>
    <w:p>
      <w:pPr>
        <w:spacing w:after="60" w:before="60"/>
      </w:pPr>
      <w:r>
        <w:t xml:space="preserve"/>
      </w:r>
    </w:p>
    <w:p>
      <w:pPr>
        <w:spacing w:after="80" w:before="80"/>
        <w:jc w:val="left"/>
      </w:pPr>
      <w:r>
        <w:rPr>
          <w:rFonts w:ascii="Arial" w:cs="Arial" w:eastAsia="Arial" w:hAnsi="Arial"/>
          <w:color w:val="000000"/>
          <w:sz w:val="20"/>
          <w:szCs w:val="20"/>
        </w:rPr>
        <w:t xml:space="preserve">5.2  All participants irrevocably agree that the President/CEO/Director shall not be held personally liable for any decision, action, or omission made in good faith in the course of governing TDC. TDC shall indemnify and hold harmless the President/CEO/Director from any claims arising from the exercise of their leadership role.</w:t>
      </w:r>
    </w:p>
    <w:p>
      <w:pPr>
        <w:spacing w:after="60" w:before="60"/>
      </w:pPr>
      <w:r>
        <w:t xml:space="preserve"/>
      </w:r>
    </w:p>
    <w:p>
      <w:pPr>
        <w:spacing w:after="80" w:before="80"/>
        <w:jc w:val="left"/>
      </w:pPr>
      <w:r>
        <w:rPr>
          <w:rFonts w:ascii="Arial" w:cs="Arial" w:eastAsia="Arial" w:hAnsi="Arial"/>
          <w:color w:val="000000"/>
          <w:sz w:val="20"/>
          <w:szCs w:val="20"/>
        </w:rPr>
        <w:t xml:space="preserve">5.3  Any participant who files a legal claim, complaint, or action against the President/CEO/Director personally in connection with TDC matters — without first completing the mandatory mediation process — shall immediately forfeit all rights under these Terms, including any pending financial distributions, and shall be permanently removed from TDC.</w:t>
      </w:r>
    </w:p>
    <w:p>
      <w:pPr>
        <w:spacing w:after="60" w:before="60"/>
      </w:pPr>
      <w:r>
        <w:t xml:space="preserve"/>
      </w:r>
    </w:p>
    <w:p>
      <w:pPr>
        <w:spacing w:after="80" w:before="80"/>
        <w:jc w:val="left"/>
      </w:pPr>
      <w:r>
        <w:rPr>
          <w:rFonts w:ascii="Arial" w:cs="Arial" w:eastAsia="Arial" w:hAnsi="Arial"/>
          <w:color w:val="000000"/>
          <w:sz w:val="20"/>
          <w:szCs w:val="20"/>
        </w:rPr>
        <w:t xml:space="preserve">5.4  Any participant who makes false, defamatory, or misleading public statements about the President/CEO/Director or TDC shall be subject to legal action for defamation and shall indemnify TDC for any reputational or financial damage caused.</w:t>
      </w:r>
    </w:p>
    <w:p>
      <w:pPr>
        <w:spacing w:after="60" w:before="60"/>
      </w:pPr>
      <w:r>
        <w:t xml:space="preserve"/>
      </w:r>
    </w:p>
    <w:p>
      <w:pPr>
        <w:spacing w:after="80" w:before="80"/>
        <w:jc w:val="left"/>
      </w:pPr>
      <w:r>
        <w:rPr>
          <w:rFonts w:ascii="Arial" w:cs="Arial" w:eastAsia="Arial" w:hAnsi="Arial"/>
          <w:color w:val="000000"/>
          <w:sz w:val="20"/>
          <w:szCs w:val="20"/>
        </w:rPr>
        <w:t xml:space="preserve">5.5  Participants agree not to contact, approach, or communicate with investors, media, business partners, clients, or sponsors of TDC in connection with any internal dispute. All external communications related to disputes must be channelled through TDC's designated legal process.</w:t>
      </w:r>
    </w:p>
    <w:p>
      <w:pPr>
        <w:pStyle w:val="Heading1"/>
        <w:pBdr>
          <w:bottom w:val="single" w:color="1A3C6E" w:sz="6"/>
        </w:pBdr>
        <w:spacing w:after="200" w:before="480"/>
      </w:pPr>
      <w:r>
        <w:rPr>
          <w:rFonts w:ascii="Arial" w:cs="Arial" w:eastAsia="Arial" w:hAnsi="Arial"/>
          <w:b/>
          <w:bCs/>
          <w:color w:val="1A3C6E"/>
          <w:sz w:val="34"/>
          <w:szCs w:val="34"/>
        </w:rPr>
        <w:t xml:space="preserve">6. Core Committee Authority and Accountability</w:t>
      </w:r>
    </w:p>
    <w:p>
      <w:pPr>
        <w:spacing w:after="80" w:before="80"/>
        <w:jc w:val="left"/>
      </w:pPr>
      <w:r>
        <w:rPr>
          <w:rFonts w:ascii="Arial" w:cs="Arial" w:eastAsia="Arial" w:hAnsi="Arial"/>
          <w:color w:val="000000"/>
          <w:sz w:val="20"/>
          <w:szCs w:val="20"/>
        </w:rPr>
        <w:t xml:space="preserve">6.1  Core Committee members serve at the pleasure of the Supreme Authority and may be appointed, reassigned, or removed at any time without cause and without compensation.</w:t>
      </w:r>
    </w:p>
    <w:p>
      <w:pPr>
        <w:spacing w:after="60" w:before="60"/>
      </w:pPr>
      <w:r>
        <w:t xml:space="preserve"/>
      </w:r>
    </w:p>
    <w:p>
      <w:pPr>
        <w:spacing w:after="80" w:before="80"/>
        <w:jc w:val="left"/>
      </w:pPr>
      <w:r>
        <w:rPr>
          <w:rFonts w:ascii="Arial" w:cs="Arial" w:eastAsia="Arial" w:hAnsi="Arial"/>
          <w:color w:val="000000"/>
          <w:sz w:val="20"/>
          <w:szCs w:val="20"/>
        </w:rPr>
        <w:t xml:space="preserve">6.2  Core Committee members are bound by all provisions of this Governance Charter in their personal and professional capacities. A Core Committee member who takes Unauthorised Actions is subject to the same penalty structure as any other participant, plus removal from their position.</w:t>
      </w:r>
    </w:p>
    <w:p>
      <w:pPr>
        <w:spacing w:after="60" w:before="60"/>
      </w:pPr>
      <w:r>
        <w:t xml:space="preserve"/>
      </w:r>
    </w:p>
    <w:p>
      <w:pPr>
        <w:spacing w:after="80" w:before="80"/>
        <w:jc w:val="left"/>
      </w:pPr>
      <w:r>
        <w:rPr>
          <w:rFonts w:ascii="Arial" w:cs="Arial" w:eastAsia="Arial" w:hAnsi="Arial"/>
          <w:color w:val="000000"/>
          <w:sz w:val="20"/>
          <w:szCs w:val="20"/>
        </w:rPr>
        <w:t xml:space="preserve">6.3  Core Committee members owe a fiduciary duty of loyalty to TDC and the Supreme Authority. They may not act in any manner that conflicts with TDC's interests or the Supreme Authority's directives.</w:t>
      </w:r>
    </w:p>
    <w:p>
      <w:r>
        <w:br w:type="page"/>
      </w:r>
    </w:p>
    <w:p>
      <w:pPr>
        <w:shd w:fill="0A1F44" w:val="clear"/>
        <w:spacing w:after="160" w:before="0"/>
        <w:jc w:val="center"/>
      </w:pPr>
      <w:r>
        <w:rPr>
          <w:rFonts w:ascii="Arial" w:cs="Arial" w:eastAsia="Arial" w:hAnsi="Arial"/>
          <w:b/>
          <w:bCs/>
          <w:color w:val="FFFFFF"/>
          <w:sz w:val="36"/>
          <w:szCs w:val="36"/>
        </w:rPr>
        <w:t xml:space="preserve">  DOCUMENT 3: UNAUTHORISED ACTION PENALTIES &amp; ENFORCEMENT POLICY  </w:t>
      </w:r>
    </w:p>
    <w:p>
      <w:pPr>
        <w:spacing w:after="60" w:before="60"/>
      </w:pPr>
      <w:r>
        <w:rPr>
          <w:rFonts w:ascii="Arial" w:cs="Arial" w:eastAsia="Arial" w:hAnsi="Arial"/>
          <w:i/>
          <w:iCs/>
          <w:color w:val="444444"/>
          <w:sz w:val="19"/>
          <w:szCs w:val="19"/>
        </w:rPr>
        <w:t xml:space="preserve">This document governs all consequences for actions taken without the required approval of the Supreme Authority or delegated Core Committee.</w:t>
      </w:r>
    </w:p>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1. Definition of Unauthorised Action</w:t>
      </w:r>
    </w:p>
    <w:p>
      <w:pPr>
        <w:spacing w:after="80" w:before="80"/>
        <w:jc w:val="left"/>
      </w:pPr>
      <w:r>
        <w:rPr>
          <w:rFonts w:ascii="Arial" w:cs="Arial" w:eastAsia="Arial" w:hAnsi="Arial"/>
          <w:color w:val="000000"/>
          <w:sz w:val="20"/>
          <w:szCs w:val="20"/>
        </w:rPr>
        <w:t xml:space="preserve">An "Unauthorised Action" is any act, omission, communication, commitment, representation, or decision taken by any TDC participant that:</w:t>
      </w:r>
    </w:p>
    <w:p>
      <w:pPr>
        <w:pStyle w:val="ListParagraph"/>
        <w:numPr>
          <w:ilvl w:val="0"/>
          <w:numId w:val="2"/>
        </w:numPr>
        <w:spacing w:after="40" w:before="40"/>
      </w:pPr>
      <w:r>
        <w:rPr>
          <w:rFonts w:ascii="Arial" w:cs="Arial" w:eastAsia="Arial" w:hAnsi="Arial"/>
          <w:color w:val="000000"/>
          <w:sz w:val="20"/>
          <w:szCs w:val="20"/>
        </w:rPr>
        <w:t xml:space="preserve">Falls within the Mandatory Approval categories in Document 2, Section 3, AND</w:t>
      </w:r>
    </w:p>
    <w:p>
      <w:pPr>
        <w:pStyle w:val="ListParagraph"/>
        <w:numPr>
          <w:ilvl w:val="0"/>
          <w:numId w:val="2"/>
        </w:numPr>
        <w:spacing w:after="40" w:before="40"/>
      </w:pPr>
      <w:r>
        <w:rPr>
          <w:rFonts w:ascii="Arial" w:cs="Arial" w:eastAsia="Arial" w:hAnsi="Arial"/>
          <w:color w:val="000000"/>
          <w:sz w:val="20"/>
          <w:szCs w:val="20"/>
        </w:rPr>
        <w:t xml:space="preserve">Was taken without prior written approval from the President/CEO/Director or a formally delegated Core Committee officer</w:t>
      </w:r>
    </w:p>
    <w:p>
      <w:pPr>
        <w:spacing w:after="60" w:before="60"/>
      </w:pPr>
      <w:r>
        <w:t xml:space="preserve"/>
      </w:r>
    </w:p>
    <w:p>
      <w:pPr>
        <w:spacing w:after="80" w:before="80"/>
        <w:jc w:val="left"/>
      </w:pPr>
      <w:r>
        <w:rPr>
          <w:rFonts w:ascii="Arial" w:cs="Arial" w:eastAsia="Arial" w:hAnsi="Arial"/>
          <w:color w:val="000000"/>
          <w:sz w:val="20"/>
          <w:szCs w:val="20"/>
        </w:rPr>
        <w:t xml:space="preserve">An Unauthorised Action is also any act taken by a participant that:</w:t>
      </w:r>
    </w:p>
    <w:p>
      <w:pPr>
        <w:pStyle w:val="ListParagraph"/>
        <w:numPr>
          <w:ilvl w:val="0"/>
          <w:numId w:val="2"/>
        </w:numPr>
        <w:spacing w:after="40" w:before="40"/>
      </w:pPr>
      <w:r>
        <w:rPr>
          <w:rFonts w:ascii="Arial" w:cs="Arial" w:eastAsia="Arial" w:hAnsi="Arial"/>
          <w:color w:val="000000"/>
          <w:sz w:val="20"/>
          <w:szCs w:val="20"/>
        </w:rPr>
        <w:t xml:space="preserve">Exceeds the scope of the authority explicitly granted to that participant's role tier</w:t>
      </w:r>
    </w:p>
    <w:p>
      <w:pPr>
        <w:pStyle w:val="ListParagraph"/>
        <w:numPr>
          <w:ilvl w:val="0"/>
          <w:numId w:val="2"/>
        </w:numPr>
        <w:spacing w:after="40" w:before="40"/>
      </w:pPr>
      <w:r>
        <w:rPr>
          <w:rFonts w:ascii="Arial" w:cs="Arial" w:eastAsia="Arial" w:hAnsi="Arial"/>
          <w:color w:val="000000"/>
          <w:sz w:val="20"/>
          <w:szCs w:val="20"/>
        </w:rPr>
        <w:t xml:space="preserve">Purports to bind TDC to any obligation without proper authorisation</w:t>
      </w:r>
    </w:p>
    <w:p>
      <w:pPr>
        <w:pStyle w:val="ListParagraph"/>
        <w:numPr>
          <w:ilvl w:val="0"/>
          <w:numId w:val="2"/>
        </w:numPr>
        <w:spacing w:after="40" w:before="40"/>
      </w:pPr>
      <w:r>
        <w:rPr>
          <w:rFonts w:ascii="Arial" w:cs="Arial" w:eastAsia="Arial" w:hAnsi="Arial"/>
          <w:color w:val="000000"/>
          <w:sz w:val="20"/>
          <w:szCs w:val="20"/>
        </w:rPr>
        <w:t xml:space="preserve">Deliberately misrepresents TDC's position, products, or intentions to any third party</w:t>
      </w:r>
    </w:p>
    <w:p>
      <w:pPr>
        <w:pStyle w:val="ListParagraph"/>
        <w:numPr>
          <w:ilvl w:val="0"/>
          <w:numId w:val="2"/>
        </w:numPr>
        <w:spacing w:after="40" w:before="40"/>
      </w:pPr>
      <w:r>
        <w:rPr>
          <w:rFonts w:ascii="Arial" w:cs="Arial" w:eastAsia="Arial" w:hAnsi="Arial"/>
          <w:color w:val="000000"/>
          <w:sz w:val="20"/>
          <w:szCs w:val="20"/>
        </w:rPr>
        <w:t xml:space="preserve">Attempts to circumvent, undermine, or override decisions of the Supreme Authority</w:t>
      </w:r>
    </w:p>
    <w:p>
      <w:pPr>
        <w:pStyle w:val="Heading1"/>
        <w:pBdr>
          <w:bottom w:val="single" w:color="1A3C6E" w:sz="6"/>
        </w:pBdr>
        <w:spacing w:after="200" w:before="480"/>
      </w:pPr>
      <w:r>
        <w:rPr>
          <w:rFonts w:ascii="Arial" w:cs="Arial" w:eastAsia="Arial" w:hAnsi="Arial"/>
          <w:b/>
          <w:bCs/>
          <w:color w:val="1A3C6E"/>
          <w:sz w:val="34"/>
          <w:szCs w:val="34"/>
        </w:rPr>
        <w:t xml:space="preserve">2. Classification of Unauthorised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BASE PENALTY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 — Minor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Taking a routine action slightly outside defined scope, with no material harm to TDC or third parties. Examples: communicating project updates to members without approval, minor formatting changes to official docs.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Written warning. Formal record entry. Mandatory re-training.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II — Moderate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Actions with potential reputational, financial, or legal consequences for TDC. Examples: making promises to participants about distributions, posting on TDC social media without approval, recruiting new members without authorisation.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Formal written warning + 30-day privilege suspension + forfeiture of any pending bonus or additional distribution.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III — Serious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Actions that expose TDC to legal liability, financial harm, or reputational damage. Examples: signing contracts on TDC's behalf, launching or taking down products, disclosing confidential financials.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suspension pending investigation + potential permanent removal + forfeiture of all financial entitlements + potential legal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IV — Critical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Actions that constitute fraud, sabotage, IP theft, or direct attack on TDC or the Supreme Authority. Examples: forking TDC code for personal use, initiating false legal claims, recruiting TDC members for a competing platform, publicly defaming TDC leadership.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permanent removal + full legal prosecution + demand for damages + injunctive relief sought + civil and criminal referral as appropriate.</w:t>
            </w:r>
          </w:p>
        </w:tc>
      </w:tr>
    </w:tbl>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3. Penalty Escalation</w:t>
      </w:r>
    </w:p>
    <w:p>
      <w:pPr>
        <w:spacing w:after="80" w:before="80"/>
        <w:jc w:val="left"/>
      </w:pPr>
      <w:r>
        <w:rPr>
          <w:rFonts w:ascii="Arial" w:cs="Arial" w:eastAsia="Arial" w:hAnsi="Arial"/>
          <w:color w:val="000000"/>
          <w:sz w:val="20"/>
          <w:szCs w:val="20"/>
        </w:rPr>
        <w:t xml:space="preserve">Penalties escalate automatically on repeat violations:</w:t>
      </w:r>
    </w:p>
    <w:p>
      <w:pPr>
        <w:pStyle w:val="ListParagraph"/>
        <w:numPr>
          <w:ilvl w:val="0"/>
          <w:numId w:val="2"/>
        </w:numPr>
        <w:spacing w:after="40" w:before="40"/>
      </w:pPr>
      <w:r>
        <w:rPr>
          <w:rFonts w:ascii="Arial" w:cs="Arial" w:eastAsia="Arial" w:hAnsi="Arial"/>
          <w:color w:val="000000"/>
          <w:sz w:val="20"/>
          <w:szCs w:val="20"/>
        </w:rPr>
        <w:t xml:space="preserve">First violation of any class: base penalty as above</w:t>
      </w:r>
    </w:p>
    <w:p>
      <w:pPr>
        <w:pStyle w:val="ListParagraph"/>
        <w:numPr>
          <w:ilvl w:val="0"/>
          <w:numId w:val="2"/>
        </w:numPr>
        <w:spacing w:after="40" w:before="40"/>
      </w:pPr>
      <w:r>
        <w:rPr>
          <w:rFonts w:ascii="Arial" w:cs="Arial" w:eastAsia="Arial" w:hAnsi="Arial"/>
          <w:color w:val="000000"/>
          <w:sz w:val="20"/>
          <w:szCs w:val="20"/>
        </w:rPr>
        <w:t xml:space="preserve">Second violation within 12 months: base penalty + one class upgrade (e.g. Class I treated as Class II)</w:t>
      </w:r>
    </w:p>
    <w:p>
      <w:pPr>
        <w:pStyle w:val="ListParagraph"/>
        <w:numPr>
          <w:ilvl w:val="0"/>
          <w:numId w:val="2"/>
        </w:numPr>
        <w:spacing w:after="40" w:before="40"/>
      </w:pPr>
      <w:r>
        <w:rPr>
          <w:rFonts w:ascii="Arial" w:cs="Arial" w:eastAsia="Arial" w:hAnsi="Arial"/>
          <w:color w:val="000000"/>
          <w:sz w:val="20"/>
          <w:szCs w:val="20"/>
        </w:rPr>
        <w:t xml:space="preserve">Third violation of any class: immediate permanent removal from TDC regardless of class</w:t>
      </w:r>
    </w:p>
    <w:p>
      <w:pPr>
        <w:pStyle w:val="ListParagraph"/>
        <w:numPr>
          <w:ilvl w:val="0"/>
          <w:numId w:val="2"/>
        </w:numPr>
        <w:spacing w:after="40" w:before="40"/>
      </w:pPr>
      <w:r>
        <w:rPr>
          <w:rFonts w:ascii="Arial" w:cs="Arial" w:eastAsia="Arial" w:hAnsi="Arial"/>
          <w:color w:val="000000"/>
          <w:sz w:val="20"/>
          <w:szCs w:val="20"/>
        </w:rPr>
        <w:t xml:space="preserve">Any single Class IV violation: immediate permanent removal with no appeal</w:t>
      </w:r>
    </w:p>
    <w:p>
      <w:pPr>
        <w:pStyle w:val="Heading1"/>
        <w:pBdr>
          <w:bottom w:val="single" w:color="1A3C6E" w:sz="6"/>
        </w:pBdr>
        <w:spacing w:after="200" w:before="480"/>
      </w:pPr>
      <w:r>
        <w:rPr>
          <w:rFonts w:ascii="Arial" w:cs="Arial" w:eastAsia="Arial" w:hAnsi="Arial"/>
          <w:b/>
          <w:bCs/>
          <w:color w:val="1A3C6E"/>
          <w:sz w:val="34"/>
          <w:szCs w:val="34"/>
        </w:rPr>
        <w:t xml:space="preserve">4. Financial Penalties</w:t>
      </w:r>
    </w:p>
    <w:p>
      <w:pPr>
        <w:spacing w:after="80" w:before="80"/>
        <w:jc w:val="left"/>
      </w:pPr>
      <w:r>
        <w:rPr>
          <w:rFonts w:ascii="Arial" w:cs="Arial" w:eastAsia="Arial" w:hAnsi="Arial"/>
          <w:color w:val="000000"/>
          <w:sz w:val="20"/>
          <w:szCs w:val="20"/>
        </w:rPr>
        <w:t xml:space="preserve">In addition to the status-based penalties above, participants who cause measurable financial harm to TDC through Unauthorised Actions are personally liable for:</w:t>
      </w:r>
    </w:p>
    <w:p>
      <w:pPr>
        <w:pStyle w:val="ListParagraph"/>
        <w:numPr>
          <w:ilvl w:val="0"/>
          <w:numId w:val="2"/>
        </w:numPr>
        <w:spacing w:after="40" w:before="40"/>
      </w:pPr>
      <w:r>
        <w:rPr>
          <w:rFonts w:ascii="Arial" w:cs="Arial" w:eastAsia="Arial" w:hAnsi="Arial"/>
          <w:color w:val="000000"/>
          <w:sz w:val="20"/>
          <w:szCs w:val="20"/>
        </w:rPr>
        <w:t xml:space="preserve">All direct costs incurred by TDC in remedying the Unauthorised Action</w:t>
      </w:r>
    </w:p>
    <w:p>
      <w:pPr>
        <w:pStyle w:val="ListParagraph"/>
        <w:numPr>
          <w:ilvl w:val="0"/>
          <w:numId w:val="2"/>
        </w:numPr>
        <w:spacing w:after="40" w:before="40"/>
      </w:pPr>
      <w:r>
        <w:rPr>
          <w:rFonts w:ascii="Arial" w:cs="Arial" w:eastAsia="Arial" w:hAnsi="Arial"/>
          <w:color w:val="000000"/>
          <w:sz w:val="20"/>
          <w:szCs w:val="20"/>
        </w:rPr>
        <w:t xml:space="preserve">All legal fees, arbitration costs, and professional fees incurred by TDC in connection with the Unauthorised Action</w:t>
      </w:r>
    </w:p>
    <w:p>
      <w:pPr>
        <w:pStyle w:val="ListParagraph"/>
        <w:numPr>
          <w:ilvl w:val="0"/>
          <w:numId w:val="2"/>
        </w:numPr>
        <w:spacing w:after="40" w:before="40"/>
      </w:pPr>
      <w:r>
        <w:rPr>
          <w:rFonts w:ascii="Arial" w:cs="Arial" w:eastAsia="Arial" w:hAnsi="Arial"/>
          <w:color w:val="000000"/>
          <w:sz w:val="20"/>
          <w:szCs w:val="20"/>
        </w:rPr>
        <w:t xml:space="preserve">All consequential losses reasonably attributable to the Unauthorised Action, including but not limited to lost partnerships, cancelled contracts, or damaged relationships</w:t>
      </w:r>
    </w:p>
    <w:p>
      <w:pPr>
        <w:pStyle w:val="ListParagraph"/>
        <w:numPr>
          <w:ilvl w:val="0"/>
          <w:numId w:val="2"/>
        </w:numPr>
        <w:spacing w:after="40" w:before="40"/>
      </w:pPr>
      <w:r>
        <w:rPr>
          <w:rFonts w:ascii="Arial" w:cs="Arial" w:eastAsia="Arial" w:hAnsi="Arial"/>
          <w:color w:val="000000"/>
          <w:sz w:val="20"/>
          <w:szCs w:val="20"/>
        </w:rPr>
        <w:t xml:space="preserve">Any fines or regulatory penalties imposed on TDC arising from the Unauthorised Action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FDE8E8" w:val="clear"/>
            <w:tcMar>
              <w:top w:type="dxa" w:w="160"/>
              <w:left w:type="dxa" w:w="240"/>
              <w:bottom w:type="dxa" w:w="160"/>
              <w:right w:type="dxa" w:w="240"/>
            </w:tcMar>
          </w:tcPr>
          <w:p>
            <w:r>
              <w:rPr>
                <w:rFonts w:ascii="Arial" w:cs="Arial" w:eastAsia="Arial" w:hAnsi="Arial"/>
                <w:b/>
                <w:bCs/>
                <w:color w:val="8B0000"/>
                <w:sz w:val="22"/>
                <w:szCs w:val="22"/>
              </w:rPr>
              <w:t xml:space="preserve">⚠  PERSONAL LIABILITY FOR UNAUTHORISED FINANCIAL COMMITMENTS</w:t>
            </w:r>
          </w:p>
          <w:p>
            <w:r>
              <w:rPr>
                <w:rFonts w:ascii="Arial" w:cs="Arial" w:eastAsia="Arial" w:hAnsi="Arial"/>
                <w:color w:val="5C0000"/>
                <w:sz w:val="20"/>
                <w:szCs w:val="20"/>
              </w:rPr>
              <w:t xml:space="preserve">Any participant who commits TDC to a financial obligation without authorisation is personally liable for that entire obligation. TDC will not honour unauthorised financial commitments and will seek full recovery from the individual responsible.</w:t>
            </w:r>
          </w:p>
        </w:tc>
      </w:tr>
    </w:tbl>
    <w:p>
      <w:pPr>
        <w:pStyle w:val="Heading1"/>
        <w:pBdr>
          <w:bottom w:val="single" w:color="1A3C6E" w:sz="6"/>
        </w:pBdr>
        <w:spacing w:after="200" w:before="480"/>
      </w:pPr>
      <w:r>
        <w:rPr>
          <w:rFonts w:ascii="Arial" w:cs="Arial" w:eastAsia="Arial" w:hAnsi="Arial"/>
          <w:b/>
          <w:bCs/>
          <w:color w:val="1A3C6E"/>
          <w:sz w:val="34"/>
          <w:szCs w:val="34"/>
        </w:rPr>
        <w:t xml:space="preserve">5. Enforcement Process</w:t>
      </w:r>
    </w:p>
    <w:p>
      <w:pPr>
        <w:spacing w:after="80" w:before="200"/>
      </w:pPr>
      <w:r>
        <w:rPr>
          <w:rFonts w:ascii="Arial" w:cs="Arial" w:eastAsia="Arial" w:hAnsi="Arial"/>
          <w:b/>
          <w:bCs/>
          <w:color w:val="444444"/>
          <w:sz w:val="22"/>
          <w:szCs w:val="22"/>
        </w:rPr>
        <w:t xml:space="preserve">5.1 Investigation</w:t>
      </w:r>
    </w:p>
    <w:p>
      <w:pPr>
        <w:spacing w:after="80" w:before="80"/>
        <w:jc w:val="left"/>
      </w:pPr>
      <w:r>
        <w:rPr>
          <w:rFonts w:ascii="Arial" w:cs="Arial" w:eastAsia="Arial" w:hAnsi="Arial"/>
          <w:color w:val="000000"/>
          <w:sz w:val="20"/>
          <w:szCs w:val="20"/>
        </w:rPr>
        <w:t xml:space="preserve">Upon receipt of a report or identification of a potential Unauthorised Action, the Core Committee will investigate. The investigated participant may provide a written explanation within 5 business days. The Supreme Authority makes the final determination.</w:t>
      </w:r>
    </w:p>
    <w:p>
      <w:pPr>
        <w:spacing w:after="80" w:before="200"/>
      </w:pPr>
      <w:r>
        <w:rPr>
          <w:rFonts w:ascii="Arial" w:cs="Arial" w:eastAsia="Arial" w:hAnsi="Arial"/>
          <w:b/>
          <w:bCs/>
          <w:color w:val="444444"/>
          <w:sz w:val="22"/>
          <w:szCs w:val="22"/>
        </w:rPr>
        <w:t xml:space="preserve">5.2 Hearing</w:t>
      </w:r>
    </w:p>
    <w:p>
      <w:pPr>
        <w:spacing w:after="80" w:before="80"/>
        <w:jc w:val="left"/>
      </w:pPr>
      <w:r>
        <w:rPr>
          <w:rFonts w:ascii="Arial" w:cs="Arial" w:eastAsia="Arial" w:hAnsi="Arial"/>
          <w:color w:val="000000"/>
          <w:sz w:val="20"/>
          <w:szCs w:val="20"/>
        </w:rPr>
        <w:t xml:space="preserve">For Class III and Class IV violations, the participant is entitled to present their case in writing before a final determination. Oral hearings are at the Supreme Authority's discretion. The Supreme Authority's decision is final.</w:t>
      </w:r>
    </w:p>
    <w:p>
      <w:pPr>
        <w:spacing w:after="80" w:before="200"/>
      </w:pPr>
      <w:r>
        <w:rPr>
          <w:rFonts w:ascii="Arial" w:cs="Arial" w:eastAsia="Arial" w:hAnsi="Arial"/>
          <w:b/>
          <w:bCs/>
          <w:color w:val="444444"/>
          <w:sz w:val="22"/>
          <w:szCs w:val="22"/>
        </w:rPr>
        <w:t xml:space="preserve">5.3 Enforcement</w:t>
      </w:r>
    </w:p>
    <w:p>
      <w:pPr>
        <w:spacing w:after="80" w:before="80"/>
        <w:jc w:val="left"/>
      </w:pPr>
      <w:r>
        <w:rPr>
          <w:rFonts w:ascii="Arial" w:cs="Arial" w:eastAsia="Arial" w:hAnsi="Arial"/>
          <w:color w:val="000000"/>
          <w:sz w:val="20"/>
          <w:szCs w:val="20"/>
        </w:rPr>
        <w:t xml:space="preserve">Penalties are enforced immediately upon determination. Financial penalties are pursued through arbitration or civil courts as appropriate. TDC reserves the right to seek emergency injunctive relief without notice for Class IV violations.</w:t>
      </w:r>
    </w:p>
    <w:p>
      <w:pPr>
        <w:spacing w:after="80" w:before="200"/>
      </w:pPr>
      <w:r>
        <w:rPr>
          <w:rFonts w:ascii="Arial" w:cs="Arial" w:eastAsia="Arial" w:hAnsi="Arial"/>
          <w:b/>
          <w:bCs/>
          <w:color w:val="444444"/>
          <w:sz w:val="22"/>
          <w:szCs w:val="22"/>
        </w:rPr>
        <w:t xml:space="preserve">5.4 No Internal Appeal</w:t>
      </w:r>
    </w:p>
    <w:p>
      <w:pPr>
        <w:spacing w:after="80" w:before="80"/>
        <w:jc w:val="left"/>
      </w:pPr>
      <w:r>
        <w:rPr>
          <w:rFonts w:ascii="Arial" w:cs="Arial" w:eastAsia="Arial" w:hAnsi="Arial"/>
          <w:color w:val="000000"/>
          <w:sz w:val="20"/>
          <w:szCs w:val="20"/>
        </w:rPr>
        <w:t xml:space="preserve">The Supreme Authority's penalty decision is final and non-appealable within TDC. Participants retain the right to challenge decisions through the external arbitration process set out in Document 1, Section 10.</w:t>
      </w:r>
    </w:p>
    <w:p>
      <w:pPr>
        <w:pStyle w:val="Heading1"/>
        <w:pBdr>
          <w:bottom w:val="single" w:color="1A3C6E" w:sz="6"/>
        </w:pBdr>
        <w:spacing w:after="200" w:before="480"/>
      </w:pPr>
      <w:r>
        <w:rPr>
          <w:rFonts w:ascii="Arial" w:cs="Arial" w:eastAsia="Arial" w:hAnsi="Arial"/>
          <w:b/>
          <w:bCs/>
          <w:color w:val="1A3C6E"/>
          <w:sz w:val="34"/>
          <w:szCs w:val="34"/>
        </w:rPr>
        <w:t xml:space="preserve">6. Reporting Obligations</w:t>
      </w:r>
    </w:p>
    <w:p>
      <w:pPr>
        <w:spacing w:after="80" w:before="80"/>
        <w:jc w:val="left"/>
      </w:pPr>
      <w:r>
        <w:rPr>
          <w:rFonts w:ascii="Arial" w:cs="Arial" w:eastAsia="Arial" w:hAnsi="Arial"/>
          <w:color w:val="000000"/>
          <w:sz w:val="20"/>
          <w:szCs w:val="20"/>
        </w:rPr>
        <w:t xml:space="preserve">Any participant who becomes aware of an Unauthorised Action by another participant is obligated to report it to the Core Committee within 48 hours. Failure to report a known Unauthorised Action may constitute a Class II violation. Reports made in good faith are protected from retaliation.</w:t>
      </w:r>
    </w:p>
    <w:p>
      <w:r>
        <w:br w:type="page"/>
      </w:r>
    </w:p>
    <w:p>
      <w:pPr>
        <w:shd w:fill="0A1F44" w:val="clear"/>
        <w:spacing w:after="160" w:before="0"/>
        <w:jc w:val="center"/>
      </w:pPr>
      <w:r>
        <w:rPr>
          <w:rFonts w:ascii="Arial" w:cs="Arial" w:eastAsia="Arial" w:hAnsi="Arial"/>
          <w:b/>
          <w:bCs/>
          <w:color w:val="FFFFFF"/>
          <w:sz w:val="36"/>
          <w:szCs w:val="36"/>
        </w:rPr>
        <w:t xml:space="preserve">  DOCUMENT 4: INTELLECTUAL PROPERTY ASSIGNMENT AGREEMENT  </w:t>
      </w:r>
    </w:p>
    <w:p>
      <w:pPr>
        <w:spacing w:after="60" w:before="60"/>
      </w:pPr>
      <w:r>
        <w:rPr>
          <w:rFonts w:ascii="Arial" w:cs="Arial" w:eastAsia="Arial" w:hAnsi="Arial"/>
          <w:i/>
          <w:iCs/>
          <w:color w:val="444444"/>
          <w:sz w:val="19"/>
          <w:szCs w:val="19"/>
        </w:rPr>
        <w:t xml:space="preserve">Signed by all participants at onboarding. Effective from the date of first contribution.</w:t>
      </w:r>
    </w:p>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1. Full Assignment of Work Product</w:t>
      </w:r>
    </w:p>
    <w:p>
      <w:pPr>
        <w:spacing w:after="80" w:before="80"/>
        <w:jc w:val="left"/>
      </w:pPr>
      <w:r>
        <w:rPr>
          <w:rFonts w:ascii="Arial" w:cs="Arial" w:eastAsia="Arial" w:hAnsi="Arial"/>
          <w:color w:val="000000"/>
          <w:sz w:val="20"/>
          <w:szCs w:val="20"/>
        </w:rPr>
        <w:t xml:space="preserve">The Participant ("Assignor") hereby irrevocably, unconditionally, and perpetually assigns to The Developer Community ("Assignee") all right, title, and interest — including all intellectual property rights — in and to any and all work product, inventions, code, scripts, algorithms, software, applications, websites, APIs, databases, UI/UX designs, wireframes, graphics, branding, documentation, research, data, business concepts, strategies, marketing materials, and any other creative, technical, or commercial output (collectively, "Work Product") created, developed, conceived, or contributed by the Assignor in connection with any TDC project or activity.</w:t>
      </w:r>
    </w:p>
    <w:p>
      <w:pPr>
        <w:pStyle w:val="Heading1"/>
        <w:pBdr>
          <w:bottom w:val="single" w:color="1A3C6E" w:sz="6"/>
        </w:pBdr>
        <w:spacing w:after="200" w:before="480"/>
      </w:pPr>
      <w:r>
        <w:rPr>
          <w:rFonts w:ascii="Arial" w:cs="Arial" w:eastAsia="Arial" w:hAnsi="Arial"/>
          <w:b/>
          <w:bCs/>
          <w:color w:val="1A3C6E"/>
          <w:sz w:val="34"/>
          <w:szCs w:val="34"/>
        </w:rPr>
        <w:t xml:space="preserve">2. Scope of IP Rights Assigned</w:t>
      </w:r>
    </w:p>
    <w:p>
      <w:pPr>
        <w:spacing w:after="80" w:before="80"/>
        <w:jc w:val="left"/>
      </w:pPr>
      <w:r>
        <w:rPr>
          <w:rFonts w:ascii="Arial" w:cs="Arial" w:eastAsia="Arial" w:hAnsi="Arial"/>
          <w:color w:val="000000"/>
          <w:sz w:val="20"/>
          <w:szCs w:val="20"/>
        </w:rPr>
        <w:t xml:space="preserve">The assignment covers, without limitation:</w:t>
      </w:r>
    </w:p>
    <w:p>
      <w:pPr>
        <w:pStyle w:val="ListParagraph"/>
        <w:numPr>
          <w:ilvl w:val="0"/>
          <w:numId w:val="2"/>
        </w:numPr>
        <w:spacing w:after="40" w:before="40"/>
      </w:pPr>
      <w:r>
        <w:rPr>
          <w:rFonts w:ascii="Arial" w:cs="Arial" w:eastAsia="Arial" w:hAnsi="Arial"/>
          <w:color w:val="000000"/>
          <w:sz w:val="20"/>
          <w:szCs w:val="20"/>
        </w:rPr>
        <w:t xml:space="preserve">All copyright and related rights</w:t>
      </w:r>
    </w:p>
    <w:p>
      <w:pPr>
        <w:pStyle w:val="ListParagraph"/>
        <w:numPr>
          <w:ilvl w:val="0"/>
          <w:numId w:val="2"/>
        </w:numPr>
        <w:spacing w:after="40" w:before="40"/>
      </w:pPr>
      <w:r>
        <w:rPr>
          <w:rFonts w:ascii="Arial" w:cs="Arial" w:eastAsia="Arial" w:hAnsi="Arial"/>
          <w:color w:val="000000"/>
          <w:sz w:val="20"/>
          <w:szCs w:val="20"/>
        </w:rPr>
        <w:t xml:space="preserve">All patent rights and patent applications</w:t>
      </w:r>
    </w:p>
    <w:p>
      <w:pPr>
        <w:pStyle w:val="ListParagraph"/>
        <w:numPr>
          <w:ilvl w:val="0"/>
          <w:numId w:val="2"/>
        </w:numPr>
        <w:spacing w:after="40" w:before="40"/>
      </w:pPr>
      <w:r>
        <w:rPr>
          <w:rFonts w:ascii="Arial" w:cs="Arial" w:eastAsia="Arial" w:hAnsi="Arial"/>
          <w:color w:val="000000"/>
          <w:sz w:val="20"/>
          <w:szCs w:val="20"/>
        </w:rPr>
        <w:t xml:space="preserve">All trade secret rights</w:t>
      </w:r>
    </w:p>
    <w:p>
      <w:pPr>
        <w:pStyle w:val="ListParagraph"/>
        <w:numPr>
          <w:ilvl w:val="0"/>
          <w:numId w:val="2"/>
        </w:numPr>
        <w:spacing w:after="40" w:before="40"/>
      </w:pPr>
      <w:r>
        <w:rPr>
          <w:rFonts w:ascii="Arial" w:cs="Arial" w:eastAsia="Arial" w:hAnsi="Arial"/>
          <w:color w:val="000000"/>
          <w:sz w:val="20"/>
          <w:szCs w:val="20"/>
        </w:rPr>
        <w:t xml:space="preserve">All trademark and trade dress rights</w:t>
      </w:r>
    </w:p>
    <w:p>
      <w:pPr>
        <w:pStyle w:val="ListParagraph"/>
        <w:numPr>
          <w:ilvl w:val="0"/>
          <w:numId w:val="2"/>
        </w:numPr>
        <w:spacing w:after="40" w:before="40"/>
      </w:pPr>
      <w:r>
        <w:rPr>
          <w:rFonts w:ascii="Arial" w:cs="Arial" w:eastAsia="Arial" w:hAnsi="Arial"/>
          <w:color w:val="000000"/>
          <w:sz w:val="20"/>
          <w:szCs w:val="20"/>
        </w:rPr>
        <w:t xml:space="preserve">All database rights</w:t>
      </w:r>
    </w:p>
    <w:p>
      <w:pPr>
        <w:pStyle w:val="ListParagraph"/>
        <w:numPr>
          <w:ilvl w:val="0"/>
          <w:numId w:val="2"/>
        </w:numPr>
        <w:spacing w:after="40" w:before="40"/>
      </w:pPr>
      <w:r>
        <w:rPr>
          <w:rFonts w:ascii="Arial" w:cs="Arial" w:eastAsia="Arial" w:hAnsi="Arial"/>
          <w:color w:val="000000"/>
          <w:sz w:val="20"/>
          <w:szCs w:val="20"/>
        </w:rPr>
        <w:t xml:space="preserve">All design rights</w:t>
      </w:r>
    </w:p>
    <w:p>
      <w:pPr>
        <w:pStyle w:val="ListParagraph"/>
        <w:numPr>
          <w:ilvl w:val="0"/>
          <w:numId w:val="2"/>
        </w:numPr>
        <w:spacing w:after="40" w:before="40"/>
      </w:pPr>
      <w:r>
        <w:rPr>
          <w:rFonts w:ascii="Arial" w:cs="Arial" w:eastAsia="Arial" w:hAnsi="Arial"/>
          <w:color w:val="000000"/>
          <w:sz w:val="20"/>
          <w:szCs w:val="20"/>
        </w:rPr>
        <w:t xml:space="preserve">All rights in confidential information</w:t>
      </w:r>
    </w:p>
    <w:p>
      <w:pPr>
        <w:pStyle w:val="ListParagraph"/>
        <w:numPr>
          <w:ilvl w:val="0"/>
          <w:numId w:val="2"/>
        </w:numPr>
        <w:spacing w:after="40" w:before="40"/>
      </w:pPr>
      <w:r>
        <w:rPr>
          <w:rFonts w:ascii="Arial" w:cs="Arial" w:eastAsia="Arial" w:hAnsi="Arial"/>
          <w:color w:val="000000"/>
          <w:sz w:val="20"/>
          <w:szCs w:val="20"/>
        </w:rPr>
        <w:t xml:space="preserve">All other intellectual and industrial property rights of whatever nature, in all jurisdictions worldwide</w:t>
      </w:r>
    </w:p>
    <w:p>
      <w:pPr>
        <w:pStyle w:val="ListParagraph"/>
        <w:numPr>
          <w:ilvl w:val="0"/>
          <w:numId w:val="2"/>
        </w:numPr>
        <w:spacing w:after="40" w:before="40"/>
      </w:pPr>
      <w:r>
        <w:rPr>
          <w:rFonts w:ascii="Arial" w:cs="Arial" w:eastAsia="Arial" w:hAnsi="Arial"/>
          <w:color w:val="000000"/>
          <w:sz w:val="20"/>
          <w:szCs w:val="20"/>
        </w:rPr>
        <w:t xml:space="preserve">All rights to apply for registration of any of the above</w:t>
      </w:r>
    </w:p>
    <w:p>
      <w:pPr>
        <w:pStyle w:val="ListParagraph"/>
        <w:numPr>
          <w:ilvl w:val="0"/>
          <w:numId w:val="2"/>
        </w:numPr>
        <w:spacing w:after="40" w:before="40"/>
      </w:pPr>
      <w:r>
        <w:rPr>
          <w:rFonts w:ascii="Arial" w:cs="Arial" w:eastAsia="Arial" w:hAnsi="Arial"/>
          <w:color w:val="000000"/>
          <w:sz w:val="20"/>
          <w:szCs w:val="20"/>
        </w:rPr>
        <w:t xml:space="preserve">The right to sue for past infringement</w:t>
      </w:r>
    </w:p>
    <w:p>
      <w:pPr>
        <w:pStyle w:val="Heading1"/>
        <w:pBdr>
          <w:bottom w:val="single" w:color="1A3C6E" w:sz="6"/>
        </w:pBdr>
        <w:spacing w:after="200" w:before="480"/>
      </w:pPr>
      <w:r>
        <w:rPr>
          <w:rFonts w:ascii="Arial" w:cs="Arial" w:eastAsia="Arial" w:hAnsi="Arial"/>
          <w:b/>
          <w:bCs/>
          <w:color w:val="1A3C6E"/>
          <w:sz w:val="34"/>
          <w:szCs w:val="34"/>
        </w:rPr>
        <w:t xml:space="preserve">3. Moral Rights Waiver</w:t>
      </w:r>
    </w:p>
    <w:p>
      <w:pPr>
        <w:spacing w:after="80" w:before="80"/>
        <w:jc w:val="left"/>
      </w:pPr>
      <w:r>
        <w:rPr>
          <w:rFonts w:ascii="Arial" w:cs="Arial" w:eastAsia="Arial" w:hAnsi="Arial"/>
          <w:color w:val="000000"/>
          <w:sz w:val="20"/>
          <w:szCs w:val="20"/>
        </w:rPr>
        <w:t xml:space="preserve">To the fullest extent permitted by applicable law, the Assignor irrevocably and unconditionally waives all moral rights in the Work Product, including the right of integrity, the right of attribution, and any analogous rights in any jurisdiction. The name and photo credit provided in TDC's products and completion letters satisfies all recognition obligations.</w:t>
      </w:r>
    </w:p>
    <w:p>
      <w:pPr>
        <w:pStyle w:val="Heading1"/>
        <w:pBdr>
          <w:bottom w:val="single" w:color="1A3C6E" w:sz="6"/>
        </w:pBdr>
        <w:spacing w:after="200" w:before="480"/>
      </w:pPr>
      <w:r>
        <w:rPr>
          <w:rFonts w:ascii="Arial" w:cs="Arial" w:eastAsia="Arial" w:hAnsi="Arial"/>
          <w:b/>
          <w:bCs/>
          <w:color w:val="1A3C6E"/>
          <w:sz w:val="34"/>
          <w:szCs w:val="34"/>
        </w:rPr>
        <w:t xml:space="preserve">4. No Compensation for Assignment</w:t>
      </w:r>
    </w:p>
    <w:p>
      <w:pPr>
        <w:spacing w:after="80" w:before="80"/>
        <w:jc w:val="left"/>
      </w:pPr>
      <w:r>
        <w:rPr>
          <w:rFonts w:ascii="Arial" w:cs="Arial" w:eastAsia="Arial" w:hAnsi="Arial"/>
          <w:color w:val="000000"/>
          <w:sz w:val="20"/>
          <w:szCs w:val="20"/>
        </w:rPr>
        <w:t xml:space="preserve">The Assignor acknowledges that the learning experience, portfolio development, professional recognition, completion letter, and opportunity for financial distribution provided by TDC constitute full and sufficient consideration for the IP assignment. No separate compensation is owed.</w:t>
      </w:r>
    </w:p>
    <w:p>
      <w:pPr>
        <w:pStyle w:val="Heading1"/>
        <w:pBdr>
          <w:bottom w:val="single" w:color="1A3C6E" w:sz="6"/>
        </w:pBdr>
        <w:spacing w:after="200" w:before="480"/>
      </w:pPr>
      <w:r>
        <w:rPr>
          <w:rFonts w:ascii="Arial" w:cs="Arial" w:eastAsia="Arial" w:hAnsi="Arial"/>
          <w:b/>
          <w:bCs/>
          <w:color w:val="1A3C6E"/>
          <w:sz w:val="34"/>
          <w:szCs w:val="34"/>
        </w:rPr>
        <w:t xml:space="preserve">5. Pre-Existing IP</w:t>
      </w:r>
    </w:p>
    <w:p>
      <w:pPr>
        <w:spacing w:after="80" w:before="80"/>
        <w:jc w:val="left"/>
      </w:pPr>
      <w:r>
        <w:rPr>
          <w:rFonts w:ascii="Arial" w:cs="Arial" w:eastAsia="Arial" w:hAnsi="Arial"/>
          <w:color w:val="000000"/>
          <w:sz w:val="20"/>
          <w:szCs w:val="20"/>
        </w:rPr>
        <w:t xml:space="preserve">If the Assignor incorporates any pre-existing intellectual property into TDC Work Product, the Assignor grants TDC a perpetual, irrevocable, worldwide, royalty-free, sublicensable licence to use, modify, distribute, and commercialise such pre-existing IP as integrated into the Work Product.</w:t>
      </w:r>
    </w:p>
    <w:p>
      <w:pPr>
        <w:pStyle w:val="Heading1"/>
        <w:pBdr>
          <w:bottom w:val="single" w:color="1A3C6E" w:sz="6"/>
        </w:pBdr>
        <w:spacing w:after="200" w:before="480"/>
      </w:pPr>
      <w:r>
        <w:rPr>
          <w:rFonts w:ascii="Arial" w:cs="Arial" w:eastAsia="Arial" w:hAnsi="Arial"/>
          <w:b/>
          <w:bCs/>
          <w:color w:val="1A3C6E"/>
          <w:sz w:val="34"/>
          <w:szCs w:val="34"/>
        </w:rPr>
        <w:t xml:space="preserve">6. Assistance Obligation</w:t>
      </w:r>
    </w:p>
    <w:p>
      <w:pPr>
        <w:spacing w:after="80" w:before="80"/>
        <w:jc w:val="left"/>
      </w:pPr>
      <w:r>
        <w:rPr>
          <w:rFonts w:ascii="Arial" w:cs="Arial" w:eastAsia="Arial" w:hAnsi="Arial"/>
          <w:color w:val="000000"/>
          <w:sz w:val="20"/>
          <w:szCs w:val="20"/>
        </w:rPr>
        <w:t xml:space="preserve">The Assignor will execute any additional documents, provide any information, and take any actions reasonably requested by TDC to register, perfect, enforce, or defend TDC's ownership of the Work Product, at TDC's expense. This obligation survives termination of participation.</w:t>
      </w:r>
    </w:p>
    <w:p>
      <w:pPr>
        <w:pStyle w:val="Heading1"/>
        <w:pBdr>
          <w:bottom w:val="single" w:color="1A3C6E" w:sz="6"/>
        </w:pBdr>
        <w:spacing w:after="200" w:before="480"/>
      </w:pPr>
      <w:r>
        <w:rPr>
          <w:rFonts w:ascii="Arial" w:cs="Arial" w:eastAsia="Arial" w:hAnsi="Arial"/>
          <w:b/>
          <w:bCs/>
          <w:color w:val="1A3C6E"/>
          <w:sz w:val="34"/>
          <w:szCs w:val="34"/>
        </w:rPr>
        <w:t xml:space="preserve">7. Warranty of Originality</w:t>
      </w:r>
    </w:p>
    <w:p>
      <w:pPr>
        <w:spacing w:after="80" w:before="80"/>
        <w:jc w:val="left"/>
      </w:pPr>
      <w:r>
        <w:rPr>
          <w:rFonts w:ascii="Arial" w:cs="Arial" w:eastAsia="Arial" w:hAnsi="Arial"/>
          <w:color w:val="000000"/>
          <w:sz w:val="20"/>
          <w:szCs w:val="20"/>
        </w:rPr>
        <w:t xml:space="preserve">The Assignor warrants that the Work Product is original, does not infringe any third-party rights, and is not subject to any prior assignment, licence, lien, or encumbrance. The Assignor indemnifies TDC for all costs and damages arising from any breach of this warranty.</w:t>
      </w:r>
    </w:p>
    <w:p>
      <w:pPr>
        <w:pStyle w:val="Heading1"/>
        <w:pBdr>
          <w:bottom w:val="single" w:color="1A3C6E" w:sz="6"/>
        </w:pBdr>
        <w:spacing w:after="200" w:before="480"/>
      </w:pPr>
      <w:r>
        <w:rPr>
          <w:rFonts w:ascii="Arial" w:cs="Arial" w:eastAsia="Arial" w:hAnsi="Arial"/>
          <w:b/>
          <w:bCs/>
          <w:color w:val="1A3C6E"/>
          <w:sz w:val="34"/>
          <w:szCs w:val="34"/>
        </w:rPr>
        <w:t xml:space="preserve">8. Survival</w:t>
      </w:r>
    </w:p>
    <w:p>
      <w:pPr>
        <w:spacing w:after="80" w:before="80"/>
        <w:jc w:val="left"/>
      </w:pPr>
      <w:r>
        <w:rPr>
          <w:rFonts w:ascii="Arial" w:cs="Arial" w:eastAsia="Arial" w:hAnsi="Arial"/>
          <w:color w:val="000000"/>
          <w:sz w:val="20"/>
          <w:szCs w:val="20"/>
        </w:rPr>
        <w:t xml:space="preserve">This Agreement survives the termination or expiry of the Assignor's participation in TDC for any reason, permanently and without limitation.</w:t>
      </w:r>
    </w:p>
    <w:p>
      <w:r>
        <w:br w:type="page"/>
      </w:r>
    </w:p>
    <w:p>
      <w:pPr>
        <w:shd w:fill="0A1F44" w:val="clear"/>
        <w:spacing w:after="160" w:before="0"/>
        <w:jc w:val="center"/>
      </w:pPr>
      <w:r>
        <w:rPr>
          <w:rFonts w:ascii="Arial" w:cs="Arial" w:eastAsia="Arial" w:hAnsi="Arial"/>
          <w:b/>
          <w:bCs/>
          <w:color w:val="FFFFFF"/>
          <w:sz w:val="36"/>
          <w:szCs w:val="36"/>
        </w:rPr>
        <w:t xml:space="preserve">  DOCUMENT 5: PROJECT LEAD AGREEMENT  </w:t>
      </w:r>
    </w:p>
    <w:p>
      <w:pPr>
        <w:spacing w:after="60" w:before="60"/>
      </w:pPr>
      <w:r>
        <w:rPr>
          <w:rFonts w:ascii="Arial" w:cs="Arial" w:eastAsia="Arial" w:hAnsi="Arial"/>
          <w:i/>
          <w:iCs/>
          <w:color w:val="444444"/>
          <w:sz w:val="19"/>
          <w:szCs w:val="19"/>
        </w:rPr>
        <w:t xml:space="preserve">Executed by all Project Leads before assuming their role.</w:t>
      </w:r>
    </w:p>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1. Appointment</w:t>
      </w:r>
    </w:p>
    <w:p>
      <w:pPr>
        <w:spacing w:after="80" w:before="80"/>
        <w:jc w:val="left"/>
      </w:pPr>
      <w:r>
        <w:rPr>
          <w:rFonts w:ascii="Arial" w:cs="Arial" w:eastAsia="Arial" w:hAnsi="Arial"/>
          <w:color w:val="000000"/>
          <w:sz w:val="20"/>
          <w:szCs w:val="20"/>
        </w:rPr>
        <w:t xml:space="preserve">The Project Lead is appointed by the Supreme Authority or a delegated Core Committee member to lead a specified TDC project team. Appointment is at TDC's sole discretion and does not create any employment, partnership, or equity relationship.</w:t>
      </w:r>
    </w:p>
    <w:p>
      <w:pPr>
        <w:pStyle w:val="Heading1"/>
        <w:pBdr>
          <w:bottom w:val="single" w:color="1A3C6E" w:sz="6"/>
        </w:pBdr>
        <w:spacing w:after="200" w:before="480"/>
      </w:pPr>
      <w:r>
        <w:rPr>
          <w:rFonts w:ascii="Arial" w:cs="Arial" w:eastAsia="Arial" w:hAnsi="Arial"/>
          <w:b/>
          <w:bCs/>
          <w:color w:val="1A3C6E"/>
          <w:sz w:val="34"/>
          <w:szCs w:val="34"/>
        </w:rPr>
        <w:t xml:space="preserve">2. Authority Within Role</w:t>
      </w:r>
    </w:p>
    <w:p>
      <w:pPr>
        <w:spacing w:after="80" w:before="80"/>
        <w:jc w:val="left"/>
      </w:pPr>
      <w:r>
        <w:rPr>
          <w:rFonts w:ascii="Arial" w:cs="Arial" w:eastAsia="Arial" w:hAnsi="Arial"/>
          <w:color w:val="000000"/>
          <w:sz w:val="20"/>
          <w:szCs w:val="20"/>
        </w:rPr>
        <w:t xml:space="preserve">The Project Lead has authority to:</w:t>
      </w:r>
    </w:p>
    <w:p>
      <w:pPr>
        <w:pStyle w:val="ListParagraph"/>
        <w:numPr>
          <w:ilvl w:val="0"/>
          <w:numId w:val="2"/>
        </w:numPr>
        <w:spacing w:after="40" w:before="40"/>
      </w:pPr>
      <w:r>
        <w:rPr>
          <w:rFonts w:ascii="Arial" w:cs="Arial" w:eastAsia="Arial" w:hAnsi="Arial"/>
          <w:color w:val="000000"/>
          <w:sz w:val="20"/>
          <w:szCs w:val="20"/>
        </w:rPr>
        <w:t xml:space="preserve">Direct team members on technical and collaborative tasks within the approved project scope</w:t>
      </w:r>
    </w:p>
    <w:p>
      <w:pPr>
        <w:pStyle w:val="ListParagraph"/>
        <w:numPr>
          <w:ilvl w:val="0"/>
          <w:numId w:val="2"/>
        </w:numPr>
        <w:spacing w:after="40" w:before="40"/>
      </w:pPr>
      <w:r>
        <w:rPr>
          <w:rFonts w:ascii="Arial" w:cs="Arial" w:eastAsia="Arial" w:hAnsi="Arial"/>
          <w:color w:val="000000"/>
          <w:sz w:val="20"/>
          <w:szCs w:val="20"/>
        </w:rPr>
        <w:t xml:space="preserve">Represent the project in internal TDC meetings and updates</w:t>
      </w:r>
    </w:p>
    <w:p>
      <w:pPr>
        <w:pStyle w:val="ListParagraph"/>
        <w:numPr>
          <w:ilvl w:val="0"/>
          <w:numId w:val="2"/>
        </w:numPr>
        <w:spacing w:after="40" w:before="40"/>
      </w:pPr>
      <w:r>
        <w:rPr>
          <w:rFonts w:ascii="Arial" w:cs="Arial" w:eastAsia="Arial" w:hAnsi="Arial"/>
          <w:color w:val="000000"/>
          <w:sz w:val="20"/>
          <w:szCs w:val="20"/>
        </w:rPr>
        <w:t xml:space="preserve">Escalate decisions beyond their scope to the Core Committee</w:t>
      </w:r>
    </w:p>
    <w:p>
      <w:pPr>
        <w:spacing w:after="60" w:before="60"/>
      </w:pPr>
      <w:r>
        <w:t xml:space="preserve"/>
      </w:r>
    </w:p>
    <w:p>
      <w:pPr>
        <w:spacing w:after="80" w:before="80"/>
        <w:jc w:val="left"/>
      </w:pPr>
      <w:r>
        <w:rPr>
          <w:rFonts w:ascii="Arial" w:cs="Arial" w:eastAsia="Arial" w:hAnsi="Arial"/>
          <w:color w:val="000000"/>
          <w:sz w:val="20"/>
          <w:szCs w:val="20"/>
        </w:rPr>
        <w:t xml:space="preserve">The Project Lead has NO authority to:</w:t>
      </w:r>
    </w:p>
    <w:p>
      <w:pPr>
        <w:pStyle w:val="ListParagraph"/>
        <w:numPr>
          <w:ilvl w:val="0"/>
          <w:numId w:val="2"/>
        </w:numPr>
        <w:spacing w:after="40" w:before="40"/>
      </w:pPr>
      <w:r>
        <w:rPr>
          <w:rFonts w:ascii="Arial" w:cs="Arial" w:eastAsia="Arial" w:hAnsi="Arial"/>
          <w:color w:val="000000"/>
          <w:sz w:val="20"/>
          <w:szCs w:val="20"/>
        </w:rPr>
        <w:t xml:space="preserve">Take any action listed in Document 2, Section 3 without prior written approval</w:t>
      </w:r>
    </w:p>
    <w:p>
      <w:pPr>
        <w:pStyle w:val="ListParagraph"/>
        <w:numPr>
          <w:ilvl w:val="0"/>
          <w:numId w:val="2"/>
        </w:numPr>
        <w:spacing w:after="40" w:before="40"/>
      </w:pPr>
      <w:r>
        <w:rPr>
          <w:rFonts w:ascii="Arial" w:cs="Arial" w:eastAsia="Arial" w:hAnsi="Arial"/>
          <w:color w:val="000000"/>
          <w:sz w:val="20"/>
          <w:szCs w:val="20"/>
        </w:rPr>
        <w:t xml:space="preserve">Make promises to team members about equity, employment, or guaranteed financial distributions</w:t>
      </w:r>
    </w:p>
    <w:p>
      <w:pPr>
        <w:pStyle w:val="ListParagraph"/>
        <w:numPr>
          <w:ilvl w:val="0"/>
          <w:numId w:val="2"/>
        </w:numPr>
        <w:spacing w:after="40" w:before="40"/>
      </w:pPr>
      <w:r>
        <w:rPr>
          <w:rFonts w:ascii="Arial" w:cs="Arial" w:eastAsia="Arial" w:hAnsi="Arial"/>
          <w:color w:val="000000"/>
          <w:sz w:val="20"/>
          <w:szCs w:val="20"/>
        </w:rPr>
        <w:t xml:space="preserve">Engage third-party vendors, contractors, or partners on behalf of TDC without approval</w:t>
      </w:r>
    </w:p>
    <w:p>
      <w:pPr>
        <w:pStyle w:val="ListParagraph"/>
        <w:numPr>
          <w:ilvl w:val="0"/>
          <w:numId w:val="2"/>
        </w:numPr>
        <w:spacing w:after="40" w:before="40"/>
      </w:pPr>
      <w:r>
        <w:rPr>
          <w:rFonts w:ascii="Arial" w:cs="Arial" w:eastAsia="Arial" w:hAnsi="Arial"/>
          <w:color w:val="000000"/>
          <w:sz w:val="20"/>
          <w:szCs w:val="20"/>
        </w:rPr>
        <w:t xml:space="preserve">Represent TDC publicly without explicit written authorisation</w:t>
      </w:r>
    </w:p>
    <w:p>
      <w:pPr>
        <w:pStyle w:val="ListParagraph"/>
        <w:numPr>
          <w:ilvl w:val="0"/>
          <w:numId w:val="2"/>
        </w:numPr>
        <w:spacing w:after="40" w:before="40"/>
      </w:pPr>
      <w:r>
        <w:rPr>
          <w:rFonts w:ascii="Arial" w:cs="Arial" w:eastAsia="Arial" w:hAnsi="Arial"/>
          <w:color w:val="000000"/>
          <w:sz w:val="20"/>
          <w:szCs w:val="20"/>
        </w:rPr>
        <w:t xml:space="preserve">Override, challenge, or circumvent any Core Committee or Supreme Authority decision</w:t>
      </w:r>
    </w:p>
    <w:p>
      <w:pPr>
        <w:pStyle w:val="Heading1"/>
        <w:pBdr>
          <w:bottom w:val="single" w:color="1A3C6E" w:sz="6"/>
        </w:pBdr>
        <w:spacing w:after="200" w:before="480"/>
      </w:pPr>
      <w:r>
        <w:rPr>
          <w:rFonts w:ascii="Arial" w:cs="Arial" w:eastAsia="Arial" w:hAnsi="Arial"/>
          <w:b/>
          <w:bCs/>
          <w:color w:val="1A3C6E"/>
          <w:sz w:val="34"/>
          <w:szCs w:val="34"/>
        </w:rPr>
        <w:t xml:space="preserve">3. Revenue Share</w:t>
      </w:r>
    </w:p>
    <w:p>
      <w:pPr>
        <w:spacing w:after="80" w:before="80"/>
        <w:jc w:val="left"/>
      </w:pPr>
      <w:r>
        <w:rPr>
          <w:rFonts w:ascii="Arial" w:cs="Arial" w:eastAsia="Arial" w:hAnsi="Arial"/>
          <w:color w:val="000000"/>
          <w:sz w:val="20"/>
          <w:szCs w:val="20"/>
        </w:rPr>
        <w:t xml:space="preserve">Subject to the Revenue Distribution Waterfall in Document 8, Project Leads are eligible for a revenue share of up to 50% of net distributable revenue after deduction of all participant refunds, hosting costs, infrastructure costs, and TDC's 50% share. This distribution is contingent on product performance thresholds and is not guaranteed.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FDE8E8" w:val="clear"/>
            <w:tcMar>
              <w:top w:type="dxa" w:w="160"/>
              <w:left w:type="dxa" w:w="240"/>
              <w:bottom w:type="dxa" w:w="160"/>
              <w:right w:type="dxa" w:w="240"/>
            </w:tcMar>
          </w:tcPr>
          <w:p>
            <w:r>
              <w:rPr>
                <w:rFonts w:ascii="Arial" w:cs="Arial" w:eastAsia="Arial" w:hAnsi="Arial"/>
                <w:b/>
                <w:bCs/>
                <w:color w:val="8B0000"/>
                <w:sz w:val="22"/>
                <w:szCs w:val="22"/>
              </w:rPr>
              <w:t xml:space="preserve">⚠  NO OWNERSHIP IN PRODUCT OR TDC</w:t>
            </w:r>
          </w:p>
          <w:p>
            <w:r>
              <w:rPr>
                <w:rFonts w:ascii="Arial" w:cs="Arial" w:eastAsia="Arial" w:hAnsi="Arial"/>
                <w:color w:val="5C0000"/>
                <w:sz w:val="20"/>
                <w:szCs w:val="20"/>
              </w:rPr>
              <w:t xml:space="preserve">The revenue share does not constitute any equity, ownership, partnership interest, or co-founder rights in TDC or in the product. TDC retains 100% ownership of all products permanently. Project Leads have no rights to the product beyond what is explicitly described herein.</w:t>
            </w:r>
          </w:p>
        </w:tc>
      </w:tr>
    </w:tbl>
    <w:p>
      <w:pPr>
        <w:pStyle w:val="Heading1"/>
        <w:pBdr>
          <w:bottom w:val="single" w:color="1A3C6E" w:sz="6"/>
        </w:pBdr>
        <w:spacing w:after="200" w:before="480"/>
      </w:pPr>
      <w:r>
        <w:rPr>
          <w:rFonts w:ascii="Arial" w:cs="Arial" w:eastAsia="Arial" w:hAnsi="Arial"/>
          <w:b/>
          <w:bCs/>
          <w:color w:val="1A3C6E"/>
          <w:sz w:val="34"/>
          <w:szCs w:val="34"/>
        </w:rPr>
        <w:t xml:space="preserve">4. Obligations of Project Lead</w:t>
      </w:r>
    </w:p>
    <w:p>
      <w:pPr>
        <w:pStyle w:val="ListParagraph"/>
        <w:numPr>
          <w:ilvl w:val="0"/>
          <w:numId w:val="2"/>
        </w:numPr>
        <w:spacing w:after="40" w:before="40"/>
      </w:pPr>
      <w:r>
        <w:rPr>
          <w:rFonts w:ascii="Arial" w:cs="Arial" w:eastAsia="Arial" w:hAnsi="Arial"/>
          <w:color w:val="000000"/>
          <w:sz w:val="20"/>
          <w:szCs w:val="20"/>
        </w:rPr>
        <w:t xml:space="preserve">Deliver the project to agreed milestones on time and to quality standards</w:t>
      </w:r>
    </w:p>
    <w:p>
      <w:pPr>
        <w:pStyle w:val="ListParagraph"/>
        <w:numPr>
          <w:ilvl w:val="0"/>
          <w:numId w:val="2"/>
        </w:numPr>
        <w:spacing w:after="40" w:before="40"/>
      </w:pPr>
      <w:r>
        <w:rPr>
          <w:rFonts w:ascii="Arial" w:cs="Arial" w:eastAsia="Arial" w:hAnsi="Arial"/>
          <w:color w:val="000000"/>
          <w:sz w:val="20"/>
          <w:szCs w:val="20"/>
        </w:rPr>
        <w:t xml:space="preserve">Manage team equitably and in accordance with TDC's Code of Conduct</w:t>
      </w:r>
    </w:p>
    <w:p>
      <w:pPr>
        <w:pStyle w:val="ListParagraph"/>
        <w:numPr>
          <w:ilvl w:val="0"/>
          <w:numId w:val="2"/>
        </w:numPr>
        <w:spacing w:after="40" w:before="40"/>
      </w:pPr>
      <w:r>
        <w:rPr>
          <w:rFonts w:ascii="Arial" w:cs="Arial" w:eastAsia="Arial" w:hAnsi="Arial"/>
          <w:color w:val="000000"/>
          <w:sz w:val="20"/>
          <w:szCs w:val="20"/>
        </w:rPr>
        <w:t xml:space="preserve">Report progress to Core Committee at agreed intervals</w:t>
      </w:r>
    </w:p>
    <w:p>
      <w:pPr>
        <w:pStyle w:val="ListParagraph"/>
        <w:numPr>
          <w:ilvl w:val="0"/>
          <w:numId w:val="2"/>
        </w:numPr>
        <w:spacing w:after="40" w:before="40"/>
      </w:pPr>
      <w:r>
        <w:rPr>
          <w:rFonts w:ascii="Arial" w:cs="Arial" w:eastAsia="Arial" w:hAnsi="Arial"/>
          <w:color w:val="000000"/>
          <w:sz w:val="20"/>
          <w:szCs w:val="20"/>
        </w:rPr>
        <w:t xml:space="preserve">Escalate all out-of-scope decisions promptly without acting unilaterally</w:t>
      </w:r>
    </w:p>
    <w:p>
      <w:pPr>
        <w:pStyle w:val="ListParagraph"/>
        <w:numPr>
          <w:ilvl w:val="0"/>
          <w:numId w:val="2"/>
        </w:numPr>
        <w:spacing w:after="40" w:before="40"/>
      </w:pPr>
      <w:r>
        <w:rPr>
          <w:rFonts w:ascii="Arial" w:cs="Arial" w:eastAsia="Arial" w:hAnsi="Arial"/>
          <w:color w:val="000000"/>
          <w:sz w:val="20"/>
          <w:szCs w:val="20"/>
        </w:rPr>
        <w:t xml:space="preserve">Maintain strict confidentiality per Document 6</w:t>
      </w:r>
    </w:p>
    <w:p>
      <w:pPr>
        <w:pStyle w:val="ListParagraph"/>
        <w:numPr>
          <w:ilvl w:val="0"/>
          <w:numId w:val="2"/>
        </w:numPr>
        <w:spacing w:after="40" w:before="40"/>
      </w:pPr>
      <w:r>
        <w:rPr>
          <w:rFonts w:ascii="Arial" w:cs="Arial" w:eastAsia="Arial" w:hAnsi="Arial"/>
          <w:color w:val="000000"/>
          <w:sz w:val="20"/>
          <w:szCs w:val="20"/>
        </w:rPr>
        <w:t xml:space="preserve">Assign all IP per Document 4</w:t>
      </w:r>
    </w:p>
    <w:p>
      <w:pPr>
        <w:pStyle w:val="ListParagraph"/>
        <w:numPr>
          <w:ilvl w:val="0"/>
          <w:numId w:val="2"/>
        </w:numPr>
        <w:spacing w:after="40" w:before="40"/>
      </w:pPr>
      <w:r>
        <w:rPr>
          <w:rFonts w:ascii="Arial" w:cs="Arial" w:eastAsia="Arial" w:hAnsi="Arial"/>
          <w:color w:val="000000"/>
          <w:sz w:val="20"/>
          <w:szCs w:val="20"/>
        </w:rPr>
        <w:t xml:space="preserve">Comply with all provisions of this document package without exception</w:t>
      </w:r>
    </w:p>
    <w:p>
      <w:pPr>
        <w:pStyle w:val="Heading1"/>
        <w:pBdr>
          <w:bottom w:val="single" w:color="1A3C6E" w:sz="6"/>
        </w:pBdr>
        <w:spacing w:after="200" w:before="480"/>
      </w:pPr>
      <w:r>
        <w:rPr>
          <w:rFonts w:ascii="Arial" w:cs="Arial" w:eastAsia="Arial" w:hAnsi="Arial"/>
          <w:b/>
          <w:bCs/>
          <w:color w:val="1A3C6E"/>
          <w:sz w:val="34"/>
          <w:szCs w:val="34"/>
        </w:rPr>
        <w:t xml:space="preserve">5. Removal and Forfeiture</w:t>
      </w:r>
    </w:p>
    <w:p>
      <w:pPr>
        <w:spacing w:after="80" w:before="80"/>
        <w:jc w:val="left"/>
      </w:pPr>
      <w:r>
        <w:rPr>
          <w:rFonts w:ascii="Arial" w:cs="Arial" w:eastAsia="Arial" w:hAnsi="Arial"/>
          <w:color w:val="000000"/>
          <w:sz w:val="20"/>
          <w:szCs w:val="20"/>
        </w:rPr>
        <w:t xml:space="preserve">TDC may remove a Project Lead from their role at any time without cause or notice. Upon removal: all pending revenue distributions are forfeited; the removed Project Lead's team reassignment is at TDC's discretion; all IP created by the removed Project Lead remains TDC's property; obligations under Documents 4 and 6 continue permanently.</w:t>
      </w:r>
    </w:p>
    <w:p>
      <w:pPr>
        <w:pStyle w:val="Heading1"/>
        <w:pBdr>
          <w:bottom w:val="single" w:color="1A3C6E" w:sz="6"/>
        </w:pBdr>
        <w:spacing w:after="200" w:before="480"/>
      </w:pPr>
      <w:r>
        <w:rPr>
          <w:rFonts w:ascii="Arial" w:cs="Arial" w:eastAsia="Arial" w:hAnsi="Arial"/>
          <w:b/>
          <w:bCs/>
          <w:color w:val="1A3C6E"/>
          <w:sz w:val="34"/>
          <w:szCs w:val="34"/>
        </w:rPr>
        <w:t xml:space="preserve">6. Non-Compete During Active Project</w:t>
      </w:r>
    </w:p>
    <w:p>
      <w:pPr>
        <w:spacing w:after="80" w:before="80"/>
        <w:jc w:val="left"/>
      </w:pPr>
      <w:r>
        <w:rPr>
          <w:rFonts w:ascii="Arial" w:cs="Arial" w:eastAsia="Arial" w:hAnsi="Arial"/>
          <w:color w:val="000000"/>
          <w:sz w:val="20"/>
          <w:szCs w:val="20"/>
        </w:rPr>
        <w:t xml:space="preserve">During the active project period, the Project Lead shall not directly or indirectly build, contribute to, or advise any substantially similar competing product or platform without prior written authorisation from the Supreme Authority. Breach entitles TDC to seek injunctive relief and damages.</w:t>
      </w:r>
    </w:p>
    <w:p>
      <w:r>
        <w:br w:type="page"/>
      </w:r>
    </w:p>
    <w:p>
      <w:pPr>
        <w:shd w:fill="0A1F44" w:val="clear"/>
        <w:spacing w:after="160" w:before="0"/>
        <w:jc w:val="center"/>
      </w:pPr>
      <w:r>
        <w:rPr>
          <w:rFonts w:ascii="Arial" w:cs="Arial" w:eastAsia="Arial" w:hAnsi="Arial"/>
          <w:b/>
          <w:bCs/>
          <w:color w:val="FFFFFF"/>
          <w:sz w:val="36"/>
          <w:szCs w:val="36"/>
        </w:rPr>
        <w:t xml:space="preserve">  DOCUMENT 6: NON-DISCLOSURE &amp; CONFIDENTIALITY AGREEMENT  </w:t>
      </w:r>
    </w:p>
    <w:p>
      <w:pPr>
        <w:spacing w:after="60" w:before="60"/>
      </w:pPr>
      <w:r>
        <w:rPr>
          <w:rFonts w:ascii="Arial" w:cs="Arial" w:eastAsia="Arial" w:hAnsi="Arial"/>
          <w:i/>
          <w:iCs/>
          <w:color w:val="444444"/>
          <w:sz w:val="19"/>
          <w:szCs w:val="19"/>
        </w:rPr>
        <w:t xml:space="preserve">Binding on all participants, contributors, advisory board members, and Core Committee.</w:t>
      </w:r>
    </w:p>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1. Definition of Confidential Information</w:t>
      </w:r>
    </w:p>
    <w:p>
      <w:pPr>
        <w:spacing w:after="80" w:before="80"/>
        <w:jc w:val="left"/>
      </w:pPr>
      <w:r>
        <w:rPr>
          <w:rFonts w:ascii="Arial" w:cs="Arial" w:eastAsia="Arial" w:hAnsi="Arial"/>
          <w:color w:val="000000"/>
          <w:sz w:val="20"/>
          <w:szCs w:val="20"/>
        </w:rPr>
        <w:t xml:space="preserve">"Confidential Information" means all non-public information of TDC in any form, including without limitation:</w:t>
      </w:r>
    </w:p>
    <w:p>
      <w:pPr>
        <w:pStyle w:val="ListParagraph"/>
        <w:numPr>
          <w:ilvl w:val="0"/>
          <w:numId w:val="2"/>
        </w:numPr>
        <w:spacing w:after="40" w:before="40"/>
      </w:pPr>
      <w:r>
        <w:rPr>
          <w:rFonts w:ascii="Arial" w:cs="Arial" w:eastAsia="Arial" w:hAnsi="Arial"/>
          <w:color w:val="000000"/>
          <w:sz w:val="20"/>
          <w:szCs w:val="20"/>
        </w:rPr>
        <w:t xml:space="preserve">Source code, algorithms, technical architectures, and development roadmaps</w:t>
      </w:r>
    </w:p>
    <w:p>
      <w:pPr>
        <w:pStyle w:val="ListParagraph"/>
        <w:numPr>
          <w:ilvl w:val="0"/>
          <w:numId w:val="2"/>
        </w:numPr>
        <w:spacing w:after="40" w:before="40"/>
      </w:pPr>
      <w:r>
        <w:rPr>
          <w:rFonts w:ascii="Arial" w:cs="Arial" w:eastAsia="Arial" w:hAnsi="Arial"/>
          <w:color w:val="000000"/>
          <w:sz w:val="20"/>
          <w:szCs w:val="20"/>
        </w:rPr>
        <w:t xml:space="preserve">Business strategies, product plans, go-to-market strategies, and competitive analyses</w:t>
      </w:r>
    </w:p>
    <w:p>
      <w:pPr>
        <w:pStyle w:val="ListParagraph"/>
        <w:numPr>
          <w:ilvl w:val="0"/>
          <w:numId w:val="2"/>
        </w:numPr>
        <w:spacing w:after="40" w:before="40"/>
      </w:pPr>
      <w:r>
        <w:rPr>
          <w:rFonts w:ascii="Arial" w:cs="Arial" w:eastAsia="Arial" w:hAnsi="Arial"/>
          <w:color w:val="000000"/>
          <w:sz w:val="20"/>
          <w:szCs w:val="20"/>
        </w:rPr>
        <w:t xml:space="preserve">Financial data, revenue figures, cost structures, and distribution calculations</w:t>
      </w:r>
    </w:p>
    <w:p>
      <w:pPr>
        <w:pStyle w:val="ListParagraph"/>
        <w:numPr>
          <w:ilvl w:val="0"/>
          <w:numId w:val="2"/>
        </w:numPr>
        <w:spacing w:after="40" w:before="40"/>
      </w:pPr>
      <w:r>
        <w:rPr>
          <w:rFonts w:ascii="Arial" w:cs="Arial" w:eastAsia="Arial" w:hAnsi="Arial"/>
          <w:color w:val="000000"/>
          <w:sz w:val="20"/>
          <w:szCs w:val="20"/>
        </w:rPr>
        <w:t xml:space="preserve">Participant lists, team compositions, and personal data of members</w:t>
      </w:r>
    </w:p>
    <w:p>
      <w:pPr>
        <w:pStyle w:val="ListParagraph"/>
        <w:numPr>
          <w:ilvl w:val="0"/>
          <w:numId w:val="2"/>
        </w:numPr>
        <w:spacing w:after="40" w:before="40"/>
      </w:pPr>
      <w:r>
        <w:rPr>
          <w:rFonts w:ascii="Arial" w:cs="Arial" w:eastAsia="Arial" w:hAnsi="Arial"/>
          <w:color w:val="000000"/>
          <w:sz w:val="20"/>
          <w:szCs w:val="20"/>
        </w:rPr>
        <w:t xml:space="preserve">Advisory board identities and guidance provided</w:t>
      </w:r>
    </w:p>
    <w:p>
      <w:pPr>
        <w:pStyle w:val="ListParagraph"/>
        <w:numPr>
          <w:ilvl w:val="0"/>
          <w:numId w:val="2"/>
        </w:numPr>
        <w:spacing w:after="40" w:before="40"/>
      </w:pPr>
      <w:r>
        <w:rPr>
          <w:rFonts w:ascii="Arial" w:cs="Arial" w:eastAsia="Arial" w:hAnsi="Arial"/>
          <w:color w:val="000000"/>
          <w:sz w:val="20"/>
          <w:szCs w:val="20"/>
        </w:rPr>
        <w:t xml:space="preserve">Investor discussions, funding strategies, and financial projections</w:t>
      </w:r>
    </w:p>
    <w:p>
      <w:pPr>
        <w:pStyle w:val="ListParagraph"/>
        <w:numPr>
          <w:ilvl w:val="0"/>
          <w:numId w:val="2"/>
        </w:numPr>
        <w:spacing w:after="40" w:before="40"/>
      </w:pPr>
      <w:r>
        <w:rPr>
          <w:rFonts w:ascii="Arial" w:cs="Arial" w:eastAsia="Arial" w:hAnsi="Arial"/>
          <w:color w:val="000000"/>
          <w:sz w:val="20"/>
          <w:szCs w:val="20"/>
        </w:rPr>
        <w:t xml:space="preserve">Client, partner, and sponsor relationships and negotiations</w:t>
      </w:r>
    </w:p>
    <w:p>
      <w:pPr>
        <w:pStyle w:val="ListParagraph"/>
        <w:numPr>
          <w:ilvl w:val="0"/>
          <w:numId w:val="2"/>
        </w:numPr>
        <w:spacing w:after="40" w:before="40"/>
      </w:pPr>
      <w:r>
        <w:rPr>
          <w:rFonts w:ascii="Arial" w:cs="Arial" w:eastAsia="Arial" w:hAnsi="Arial"/>
          <w:color w:val="000000"/>
          <w:sz w:val="20"/>
          <w:szCs w:val="20"/>
        </w:rPr>
        <w:t xml:space="preserve">Any information marked as confidential or that a reasonable person would understand to be confidential</w:t>
      </w:r>
    </w:p>
    <w:p>
      <w:pPr>
        <w:pStyle w:val="Heading1"/>
        <w:pBdr>
          <w:bottom w:val="single" w:color="1A3C6E" w:sz="6"/>
        </w:pBdr>
        <w:spacing w:after="200" w:before="480"/>
      </w:pPr>
      <w:r>
        <w:rPr>
          <w:rFonts w:ascii="Arial" w:cs="Arial" w:eastAsia="Arial" w:hAnsi="Arial"/>
          <w:b/>
          <w:bCs/>
          <w:color w:val="1A3C6E"/>
          <w:sz w:val="34"/>
          <w:szCs w:val="34"/>
        </w:rPr>
        <w:t xml:space="preserve">2. Obligations of Confidentiality</w:t>
      </w:r>
    </w:p>
    <w:p>
      <w:pPr>
        <w:spacing w:after="80" w:before="80"/>
        <w:jc w:val="left"/>
      </w:pPr>
      <w:r>
        <w:rPr>
          <w:rFonts w:ascii="Arial" w:cs="Arial" w:eastAsia="Arial" w:hAnsi="Arial"/>
          <w:color w:val="000000"/>
          <w:sz w:val="20"/>
          <w:szCs w:val="20"/>
        </w:rPr>
        <w:t xml:space="preserve">Each participant agrees to:</w:t>
      </w:r>
    </w:p>
    <w:p>
      <w:pPr>
        <w:pStyle w:val="ListParagraph"/>
        <w:numPr>
          <w:ilvl w:val="0"/>
          <w:numId w:val="2"/>
        </w:numPr>
        <w:spacing w:after="40" w:before="40"/>
      </w:pPr>
      <w:r>
        <w:rPr>
          <w:rFonts w:ascii="Arial" w:cs="Arial" w:eastAsia="Arial" w:hAnsi="Arial"/>
          <w:color w:val="000000"/>
          <w:sz w:val="20"/>
          <w:szCs w:val="20"/>
        </w:rPr>
        <w:t xml:space="preserve">Keep all Confidential Information strictly confidential</w:t>
      </w:r>
    </w:p>
    <w:p>
      <w:pPr>
        <w:pStyle w:val="ListParagraph"/>
        <w:numPr>
          <w:ilvl w:val="0"/>
          <w:numId w:val="2"/>
        </w:numPr>
        <w:spacing w:after="40" w:before="40"/>
      </w:pPr>
      <w:r>
        <w:rPr>
          <w:rFonts w:ascii="Arial" w:cs="Arial" w:eastAsia="Arial" w:hAnsi="Arial"/>
          <w:color w:val="000000"/>
          <w:sz w:val="20"/>
          <w:szCs w:val="20"/>
        </w:rPr>
        <w:t xml:space="preserve">Not disclose any Confidential Information to any third party without prior written approval from the Supreme Authority</w:t>
      </w:r>
    </w:p>
    <w:p>
      <w:pPr>
        <w:pStyle w:val="ListParagraph"/>
        <w:numPr>
          <w:ilvl w:val="0"/>
          <w:numId w:val="2"/>
        </w:numPr>
        <w:spacing w:after="40" w:before="40"/>
      </w:pPr>
      <w:r>
        <w:rPr>
          <w:rFonts w:ascii="Arial" w:cs="Arial" w:eastAsia="Arial" w:hAnsi="Arial"/>
          <w:color w:val="000000"/>
          <w:sz w:val="20"/>
          <w:szCs w:val="20"/>
        </w:rPr>
        <w:t xml:space="preserve">Not use Confidential Information for any purpose other than their TDC participation</w:t>
      </w:r>
    </w:p>
    <w:p>
      <w:pPr>
        <w:pStyle w:val="ListParagraph"/>
        <w:numPr>
          <w:ilvl w:val="0"/>
          <w:numId w:val="2"/>
        </w:numPr>
        <w:spacing w:after="40" w:before="40"/>
      </w:pPr>
      <w:r>
        <w:rPr>
          <w:rFonts w:ascii="Arial" w:cs="Arial" w:eastAsia="Arial" w:hAnsi="Arial"/>
          <w:color w:val="000000"/>
          <w:sz w:val="20"/>
          <w:szCs w:val="20"/>
        </w:rPr>
        <w:t xml:space="preserve">Take all reasonable steps to prevent unauthorised access to or disclosure of Confidential Information</w:t>
      </w:r>
    </w:p>
    <w:p>
      <w:pPr>
        <w:pStyle w:val="ListParagraph"/>
        <w:numPr>
          <w:ilvl w:val="0"/>
          <w:numId w:val="2"/>
        </w:numPr>
        <w:spacing w:after="40" w:before="40"/>
      </w:pPr>
      <w:r>
        <w:rPr>
          <w:rFonts w:ascii="Arial" w:cs="Arial" w:eastAsia="Arial" w:hAnsi="Arial"/>
          <w:color w:val="000000"/>
          <w:sz w:val="20"/>
          <w:szCs w:val="20"/>
        </w:rPr>
        <w:t xml:space="preserve">Immediately report any suspected or actual breach of confidentiality to the Core Committee</w:t>
      </w:r>
    </w:p>
    <w:p>
      <w:pPr>
        <w:pStyle w:val="ListParagraph"/>
        <w:numPr>
          <w:ilvl w:val="0"/>
          <w:numId w:val="2"/>
        </w:numPr>
        <w:spacing w:after="40" w:before="40"/>
      </w:pPr>
      <w:r>
        <w:rPr>
          <w:rFonts w:ascii="Arial" w:cs="Arial" w:eastAsia="Arial" w:hAnsi="Arial"/>
          <w:color w:val="000000"/>
          <w:sz w:val="20"/>
          <w:szCs w:val="20"/>
        </w:rPr>
        <w:t xml:space="preserve">Return or destroy all Confidential Information upon departure from TDC</w:t>
      </w:r>
    </w:p>
    <w:p>
      <w:pPr>
        <w:pStyle w:val="Heading1"/>
        <w:pBdr>
          <w:bottom w:val="single" w:color="1A3C6E" w:sz="6"/>
        </w:pBdr>
        <w:spacing w:after="200" w:before="480"/>
      </w:pPr>
      <w:r>
        <w:rPr>
          <w:rFonts w:ascii="Arial" w:cs="Arial" w:eastAsia="Arial" w:hAnsi="Arial"/>
          <w:b/>
          <w:bCs/>
          <w:color w:val="1A3C6E"/>
          <w:sz w:val="34"/>
          <w:szCs w:val="34"/>
        </w:rPr>
        <w:t xml:space="preserve">3. Duration</w:t>
      </w:r>
    </w:p>
    <w:p>
      <w:pPr>
        <w:spacing w:after="80" w:before="80"/>
        <w:jc w:val="left"/>
      </w:pPr>
      <w:r>
        <w:rPr>
          <w:rFonts w:ascii="Arial" w:cs="Arial" w:eastAsia="Arial" w:hAnsi="Arial"/>
          <w:color w:val="000000"/>
          <w:sz w:val="20"/>
          <w:szCs w:val="20"/>
        </w:rPr>
        <w:t xml:space="preserve">Confidentiality obligations apply during participation and for a period of 3 years after departure from TDC for general Confidential Information, and indefinitely for trade secrets and product source code.</w:t>
      </w:r>
    </w:p>
    <w:p>
      <w:pPr>
        <w:pStyle w:val="Heading1"/>
        <w:pBdr>
          <w:bottom w:val="single" w:color="1A3C6E" w:sz="6"/>
        </w:pBdr>
        <w:spacing w:after="200" w:before="480"/>
      </w:pPr>
      <w:r>
        <w:rPr>
          <w:rFonts w:ascii="Arial" w:cs="Arial" w:eastAsia="Arial" w:hAnsi="Arial"/>
          <w:b/>
          <w:bCs/>
          <w:color w:val="1A3C6E"/>
          <w:sz w:val="34"/>
          <w:szCs w:val="34"/>
        </w:rPr>
        <w:t xml:space="preserve">4. Permitted Disclosures</w:t>
      </w:r>
    </w:p>
    <w:p>
      <w:pPr>
        <w:spacing w:after="80" w:before="80"/>
        <w:jc w:val="left"/>
      </w:pPr>
      <w:r>
        <w:rPr>
          <w:rFonts w:ascii="Arial" w:cs="Arial" w:eastAsia="Arial" w:hAnsi="Arial"/>
          <w:color w:val="000000"/>
          <w:sz w:val="20"/>
          <w:szCs w:val="20"/>
        </w:rPr>
        <w:t xml:space="preserve">Disclosure is only permitted: (a) with prior written approval from the Supreme Authority; (b) as required by applicable law or court order, provided TDC is given prompt written notice before disclosure to allow it to seek a protective order; or (c) to TDC's legal advisors under an equivalent duty of confidentiality.</w:t>
      </w:r>
    </w:p>
    <w:p>
      <w:pPr>
        <w:pStyle w:val="Heading1"/>
        <w:pBdr>
          <w:bottom w:val="single" w:color="1A3C6E" w:sz="6"/>
        </w:pBdr>
        <w:spacing w:after="200" w:before="480"/>
      </w:pPr>
      <w:r>
        <w:rPr>
          <w:rFonts w:ascii="Arial" w:cs="Arial" w:eastAsia="Arial" w:hAnsi="Arial"/>
          <w:b/>
          <w:bCs/>
          <w:color w:val="1A3C6E"/>
          <w:sz w:val="34"/>
          <w:szCs w:val="34"/>
        </w:rPr>
        <w:t xml:space="preserve">5. Remedies for Breach</w:t>
      </w:r>
    </w:p>
    <w:p>
      <w:pPr>
        <w:spacing w:after="80" w:before="80"/>
        <w:jc w:val="left"/>
      </w:pPr>
      <w:r>
        <w:rPr>
          <w:rFonts w:ascii="Arial" w:cs="Arial" w:eastAsia="Arial" w:hAnsi="Arial"/>
          <w:color w:val="000000"/>
          <w:sz w:val="20"/>
          <w:szCs w:val="20"/>
        </w:rPr>
        <w:t xml:space="preserve">The Participant acknowledges that breach of this Agreement would cause irreparable harm to TDC for which monetary damages would be inadequate. TDC is entitled to seek emergency injunctive relief without notice, bond, or proof of actual damage, in addition to all other legal and equitable remedies. The breaching participant shall indemnify TDC for all damages, losses, and costs, including legal fees.</w:t>
      </w:r>
    </w:p>
    <w:p>
      <w:pPr>
        <w:pStyle w:val="Heading1"/>
        <w:pBdr>
          <w:bottom w:val="single" w:color="1A3C6E" w:sz="6"/>
        </w:pBdr>
        <w:spacing w:after="200" w:before="480"/>
      </w:pPr>
      <w:r>
        <w:rPr>
          <w:rFonts w:ascii="Arial" w:cs="Arial" w:eastAsia="Arial" w:hAnsi="Arial"/>
          <w:b/>
          <w:bCs/>
          <w:color w:val="1A3C6E"/>
          <w:sz w:val="34"/>
          <w:szCs w:val="34"/>
        </w:rPr>
        <w:t xml:space="preserve">6. No Competing Disclosure</w:t>
      </w:r>
    </w:p>
    <w:p>
      <w:pPr>
        <w:spacing w:after="80" w:before="80"/>
        <w:jc w:val="left"/>
      </w:pPr>
      <w:r>
        <w:rPr>
          <w:rFonts w:ascii="Arial" w:cs="Arial" w:eastAsia="Arial" w:hAnsi="Arial"/>
          <w:color w:val="000000"/>
          <w:sz w:val="20"/>
          <w:szCs w:val="20"/>
        </w:rPr>
        <w:t xml:space="preserve">Participants may not use Confidential Information to benefit any competitor, build any competing product, or facilitate any action that disadvantages TDC. Any such use constitutes a Class IV Unauthorised Action under Document 3 and triggers all associated penalties.</w:t>
      </w:r>
    </w:p>
    <w:p>
      <w:r>
        <w:br w:type="page"/>
      </w:r>
    </w:p>
    <w:p>
      <w:pPr>
        <w:shd w:fill="0A1F44" w:val="clear"/>
        <w:spacing w:after="160" w:before="0"/>
        <w:jc w:val="center"/>
      </w:pPr>
      <w:r>
        <w:rPr>
          <w:rFonts w:ascii="Arial" w:cs="Arial" w:eastAsia="Arial" w:hAnsi="Arial"/>
          <w:b/>
          <w:bCs/>
          <w:color w:val="FFFFFF"/>
          <w:sz w:val="36"/>
          <w:szCs w:val="36"/>
        </w:rPr>
        <w:t xml:space="preserve">  DOCUMENT 7: PARTICIPANT CODE OF CONDUCT  </w:t>
      </w:r>
    </w:p>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1. Expected Standards</w:t>
      </w:r>
    </w:p>
    <w:p>
      <w:pPr>
        <w:pStyle w:val="ListParagraph"/>
        <w:numPr>
          <w:ilvl w:val="0"/>
          <w:numId w:val="2"/>
        </w:numPr>
        <w:spacing w:after="40" w:before="40"/>
      </w:pPr>
      <w:r>
        <w:rPr>
          <w:rFonts w:ascii="Arial" w:cs="Arial" w:eastAsia="Arial" w:hAnsi="Arial"/>
          <w:color w:val="000000"/>
          <w:sz w:val="20"/>
          <w:szCs w:val="20"/>
        </w:rPr>
        <w:t xml:space="preserve">Treat every participant with dignity and respect regardless of experience, background, or role</w:t>
      </w:r>
    </w:p>
    <w:p>
      <w:pPr>
        <w:pStyle w:val="ListParagraph"/>
        <w:numPr>
          <w:ilvl w:val="0"/>
          <w:numId w:val="2"/>
        </w:numPr>
        <w:spacing w:after="40" w:before="40"/>
      </w:pPr>
      <w:r>
        <w:rPr>
          <w:rFonts w:ascii="Arial" w:cs="Arial" w:eastAsia="Arial" w:hAnsi="Arial"/>
          <w:color w:val="000000"/>
          <w:sz w:val="20"/>
          <w:szCs w:val="20"/>
        </w:rPr>
        <w:t xml:space="preserve">Communicate openly and honestly; raise concerns through proper channels</w:t>
      </w:r>
    </w:p>
    <w:p>
      <w:pPr>
        <w:pStyle w:val="ListParagraph"/>
        <w:numPr>
          <w:ilvl w:val="0"/>
          <w:numId w:val="2"/>
        </w:numPr>
        <w:spacing w:after="40" w:before="40"/>
      </w:pPr>
      <w:r>
        <w:rPr>
          <w:rFonts w:ascii="Arial" w:cs="Arial" w:eastAsia="Arial" w:hAnsi="Arial"/>
          <w:color w:val="000000"/>
          <w:sz w:val="20"/>
          <w:szCs w:val="20"/>
        </w:rPr>
        <w:t xml:space="preserve">Deliver on your commitments; notify your team lead immediately if you cannot</w:t>
      </w:r>
    </w:p>
    <w:p>
      <w:pPr>
        <w:pStyle w:val="ListParagraph"/>
        <w:numPr>
          <w:ilvl w:val="0"/>
          <w:numId w:val="2"/>
        </w:numPr>
        <w:spacing w:after="40" w:before="40"/>
      </w:pPr>
      <w:r>
        <w:rPr>
          <w:rFonts w:ascii="Arial" w:cs="Arial" w:eastAsia="Arial" w:hAnsi="Arial"/>
          <w:color w:val="000000"/>
          <w:sz w:val="20"/>
          <w:szCs w:val="20"/>
        </w:rPr>
        <w:t xml:space="preserve">Give proper credit to colleagues for their contributions</w:t>
      </w:r>
    </w:p>
    <w:p>
      <w:pPr>
        <w:pStyle w:val="ListParagraph"/>
        <w:numPr>
          <w:ilvl w:val="0"/>
          <w:numId w:val="2"/>
        </w:numPr>
        <w:spacing w:after="40" w:before="40"/>
      </w:pPr>
      <w:r>
        <w:rPr>
          <w:rFonts w:ascii="Arial" w:cs="Arial" w:eastAsia="Arial" w:hAnsi="Arial"/>
          <w:color w:val="000000"/>
          <w:sz w:val="20"/>
          <w:szCs w:val="20"/>
        </w:rPr>
        <w:t xml:space="preserve">Protect all Confidential Information per Document 6</w:t>
      </w:r>
    </w:p>
    <w:p>
      <w:pPr>
        <w:pStyle w:val="ListParagraph"/>
        <w:numPr>
          <w:ilvl w:val="0"/>
          <w:numId w:val="2"/>
        </w:numPr>
        <w:spacing w:after="40" w:before="40"/>
      </w:pPr>
      <w:r>
        <w:rPr>
          <w:rFonts w:ascii="Arial" w:cs="Arial" w:eastAsia="Arial" w:hAnsi="Arial"/>
          <w:color w:val="000000"/>
          <w:sz w:val="20"/>
          <w:szCs w:val="20"/>
        </w:rPr>
        <w:t xml:space="preserve">Follow all instructions from your designated authority tier</w:t>
      </w:r>
    </w:p>
    <w:p>
      <w:pPr>
        <w:pStyle w:val="ListParagraph"/>
        <w:numPr>
          <w:ilvl w:val="0"/>
          <w:numId w:val="2"/>
        </w:numPr>
        <w:spacing w:after="40" w:before="40"/>
      </w:pPr>
      <w:r>
        <w:rPr>
          <w:rFonts w:ascii="Arial" w:cs="Arial" w:eastAsia="Arial" w:hAnsi="Arial"/>
          <w:color w:val="000000"/>
          <w:sz w:val="20"/>
          <w:szCs w:val="20"/>
        </w:rPr>
        <w:t xml:space="preserve">Obtain proper approval before taking any action outside your defined scope</w:t>
      </w:r>
    </w:p>
    <w:p>
      <w:pPr>
        <w:pStyle w:val="ListParagraph"/>
        <w:numPr>
          <w:ilvl w:val="0"/>
          <w:numId w:val="2"/>
        </w:numPr>
        <w:spacing w:after="40" w:before="40"/>
      </w:pPr>
      <w:r>
        <w:rPr>
          <w:rFonts w:ascii="Arial" w:cs="Arial" w:eastAsia="Arial" w:hAnsi="Arial"/>
          <w:color w:val="000000"/>
          <w:sz w:val="20"/>
          <w:szCs w:val="20"/>
        </w:rPr>
        <w:t xml:space="preserve">Report suspected violations to the Core Committee promptly</w:t>
      </w:r>
    </w:p>
    <w:p>
      <w:pPr>
        <w:pStyle w:val="Heading1"/>
        <w:pBdr>
          <w:bottom w:val="single" w:color="1A3C6E" w:sz="6"/>
        </w:pBdr>
        <w:spacing w:after="200" w:before="480"/>
      </w:pPr>
      <w:r>
        <w:rPr>
          <w:rFonts w:ascii="Arial" w:cs="Arial" w:eastAsia="Arial" w:hAnsi="Arial"/>
          <w:b/>
          <w:bCs/>
          <w:color w:val="1A3C6E"/>
          <w:sz w:val="34"/>
          <w:szCs w:val="34"/>
        </w:rPr>
        <w:t xml:space="preserve">2. Strictly Prohibited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FDE8E8" w:val="clear"/>
            <w:tcMar>
              <w:top w:type="dxa" w:w="160"/>
              <w:left w:type="dxa" w:w="240"/>
              <w:bottom w:type="dxa" w:w="160"/>
              <w:right w:type="dxa" w:w="240"/>
            </w:tcMar>
          </w:tcPr>
          <w:p>
            <w:r>
              <w:rPr>
                <w:rFonts w:ascii="Arial" w:cs="Arial" w:eastAsia="Arial" w:hAnsi="Arial"/>
                <w:b/>
                <w:bCs/>
                <w:color w:val="8B0000"/>
                <w:sz w:val="22"/>
                <w:szCs w:val="22"/>
              </w:rPr>
              <w:t xml:space="preserve">⚠  ZERO TOLERANCE VIOLATIONS</w:t>
            </w:r>
          </w:p>
          <w:p>
            <w:r>
              <w:rPr>
                <w:rFonts w:ascii="Arial" w:cs="Arial" w:eastAsia="Arial" w:hAnsi="Arial"/>
                <w:color w:val="5C0000"/>
                <w:sz w:val="20"/>
                <w:szCs w:val="20"/>
              </w:rPr>
              <w:t xml:space="preserve">The following violations result in immediate permanent removal from TDC with no warning, no appeal, and forfeiture of all benefits including completion letters and financial distributions.</w:t>
            </w:r>
          </w:p>
        </w:tc>
      </w:tr>
    </w:tbl>
    <w:p>
      <w:pPr>
        <w:spacing w:after="60" w:before="60"/>
      </w:pPr>
      <w:r>
        <w:t xml:space="preserve"/>
      </w:r>
    </w:p>
    <w:p>
      <w:pPr>
        <w:pStyle w:val="ListParagraph"/>
        <w:numPr>
          <w:ilvl w:val="0"/>
          <w:numId w:val="2"/>
        </w:numPr>
        <w:spacing w:after="40" w:before="40"/>
      </w:pPr>
      <w:r>
        <w:rPr>
          <w:rFonts w:ascii="Arial" w:cs="Arial" w:eastAsia="Arial" w:hAnsi="Arial"/>
          <w:color w:val="000000"/>
          <w:sz w:val="20"/>
          <w:szCs w:val="20"/>
        </w:rPr>
        <w:t xml:space="preserve">Harassment, bullying, intimidation, or discrimination of any kind, in any form</w:t>
      </w:r>
    </w:p>
    <w:p>
      <w:pPr>
        <w:pStyle w:val="ListParagraph"/>
        <w:numPr>
          <w:ilvl w:val="0"/>
          <w:numId w:val="2"/>
        </w:numPr>
        <w:spacing w:after="40" w:before="40"/>
      </w:pPr>
      <w:r>
        <w:rPr>
          <w:rFonts w:ascii="Arial" w:cs="Arial" w:eastAsia="Arial" w:hAnsi="Arial"/>
          <w:color w:val="000000"/>
          <w:sz w:val="20"/>
          <w:szCs w:val="20"/>
        </w:rPr>
        <w:t xml:space="preserve">Plagiarism, code theft, or misrepresentation of contributions or qualifications</w:t>
      </w:r>
    </w:p>
    <w:p>
      <w:pPr>
        <w:pStyle w:val="ListParagraph"/>
        <w:numPr>
          <w:ilvl w:val="0"/>
          <w:numId w:val="2"/>
        </w:numPr>
        <w:spacing w:after="40" w:before="40"/>
      </w:pPr>
      <w:r>
        <w:rPr>
          <w:rFonts w:ascii="Arial" w:cs="Arial" w:eastAsia="Arial" w:hAnsi="Arial"/>
          <w:color w:val="000000"/>
          <w:sz w:val="20"/>
          <w:szCs w:val="20"/>
        </w:rPr>
        <w:t xml:space="preserve">Sabotage of TDC products, codebases, infrastructure, or operations</w:t>
      </w:r>
    </w:p>
    <w:p>
      <w:pPr>
        <w:pStyle w:val="ListParagraph"/>
        <w:numPr>
          <w:ilvl w:val="0"/>
          <w:numId w:val="2"/>
        </w:numPr>
        <w:spacing w:after="40" w:before="40"/>
      </w:pPr>
      <w:r>
        <w:rPr>
          <w:rFonts w:ascii="Arial" w:cs="Arial" w:eastAsia="Arial" w:hAnsi="Arial"/>
          <w:color w:val="000000"/>
          <w:sz w:val="20"/>
          <w:szCs w:val="20"/>
        </w:rPr>
        <w:t xml:space="preserve">Attempting to fork, steal, or commercialise any TDC product or codebase for personal benefit</w:t>
      </w:r>
    </w:p>
    <w:p>
      <w:pPr>
        <w:pStyle w:val="ListParagraph"/>
        <w:numPr>
          <w:ilvl w:val="0"/>
          <w:numId w:val="2"/>
        </w:numPr>
        <w:spacing w:after="40" w:before="40"/>
      </w:pPr>
      <w:r>
        <w:rPr>
          <w:rFonts w:ascii="Arial" w:cs="Arial" w:eastAsia="Arial" w:hAnsi="Arial"/>
          <w:color w:val="000000"/>
          <w:sz w:val="20"/>
          <w:szCs w:val="20"/>
        </w:rPr>
        <w:t xml:space="preserve">Soliciting TDC participants to leave TDC or join competing platforms or initiatives</w:t>
      </w:r>
    </w:p>
    <w:p>
      <w:pPr>
        <w:pStyle w:val="ListParagraph"/>
        <w:numPr>
          <w:ilvl w:val="0"/>
          <w:numId w:val="2"/>
        </w:numPr>
        <w:spacing w:after="40" w:before="40"/>
      </w:pPr>
      <w:r>
        <w:rPr>
          <w:rFonts w:ascii="Arial" w:cs="Arial" w:eastAsia="Arial" w:hAnsi="Arial"/>
          <w:color w:val="000000"/>
          <w:sz w:val="20"/>
          <w:szCs w:val="20"/>
        </w:rPr>
        <w:t xml:space="preserve">Initiating, funding, or encouraging any legal action, regulatory complaint, or public attack against TDC or its leadership without first completing the mandatory mediation process</w:t>
      </w:r>
    </w:p>
    <w:p>
      <w:pPr>
        <w:pStyle w:val="ListParagraph"/>
        <w:numPr>
          <w:ilvl w:val="0"/>
          <w:numId w:val="2"/>
        </w:numPr>
        <w:spacing w:after="40" w:before="40"/>
      </w:pPr>
      <w:r>
        <w:rPr>
          <w:rFonts w:ascii="Arial" w:cs="Arial" w:eastAsia="Arial" w:hAnsi="Arial"/>
          <w:color w:val="000000"/>
          <w:sz w:val="20"/>
          <w:szCs w:val="20"/>
        </w:rPr>
        <w:t xml:space="preserve">Posting defamatory, false, or misleading content about TDC or TDC leadership</w:t>
      </w:r>
    </w:p>
    <w:p>
      <w:pPr>
        <w:pStyle w:val="ListParagraph"/>
        <w:numPr>
          <w:ilvl w:val="0"/>
          <w:numId w:val="2"/>
        </w:numPr>
        <w:spacing w:after="40" w:before="40"/>
      </w:pPr>
      <w:r>
        <w:rPr>
          <w:rFonts w:ascii="Arial" w:cs="Arial" w:eastAsia="Arial" w:hAnsi="Arial"/>
          <w:color w:val="000000"/>
          <w:sz w:val="20"/>
          <w:szCs w:val="20"/>
        </w:rPr>
        <w:t xml:space="preserve">Any fraud, financial misconduct, or misappropriation in connection with TDC</w:t>
      </w:r>
    </w:p>
    <w:p>
      <w:pPr>
        <w:pStyle w:val="ListParagraph"/>
        <w:numPr>
          <w:ilvl w:val="0"/>
          <w:numId w:val="2"/>
        </w:numPr>
        <w:spacing w:after="40" w:before="40"/>
      </w:pPr>
      <w:r>
        <w:rPr>
          <w:rFonts w:ascii="Arial" w:cs="Arial" w:eastAsia="Arial" w:hAnsi="Arial"/>
          <w:color w:val="000000"/>
          <w:sz w:val="20"/>
          <w:szCs w:val="20"/>
        </w:rPr>
        <w:t xml:space="preserve">Disclosing Confidential Information to competitors, media, or the public without authorisation</w:t>
      </w:r>
    </w:p>
    <w:p>
      <w:pPr>
        <w:pStyle w:val="ListParagraph"/>
        <w:numPr>
          <w:ilvl w:val="0"/>
          <w:numId w:val="2"/>
        </w:numPr>
        <w:spacing w:after="40" w:before="40"/>
      </w:pPr>
      <w:r>
        <w:rPr>
          <w:rFonts w:ascii="Arial" w:cs="Arial" w:eastAsia="Arial" w:hAnsi="Arial"/>
          <w:color w:val="000000"/>
          <w:sz w:val="20"/>
          <w:szCs w:val="20"/>
        </w:rPr>
        <w:t xml:space="preserve">Taking any Mandatory Approval action without authorisation (Class III or Class IV)</w:t>
      </w:r>
    </w:p>
    <w:p>
      <w:pPr>
        <w:pStyle w:val="Heading1"/>
        <w:pBdr>
          <w:bottom w:val="single" w:color="1A3C6E" w:sz="6"/>
        </w:pBdr>
        <w:spacing w:after="200" w:before="480"/>
      </w:pPr>
      <w:r>
        <w:rPr>
          <w:rFonts w:ascii="Arial" w:cs="Arial" w:eastAsia="Arial" w:hAnsi="Arial"/>
          <w:b/>
          <w:bCs/>
          <w:color w:val="1A3C6E"/>
          <w:sz w:val="34"/>
          <w:szCs w:val="34"/>
        </w:rPr>
        <w:t xml:space="preserve">3. Enforcement and Disciplinary Procedure</w:t>
      </w:r>
    </w:p>
    <w:p>
      <w:pPr>
        <w:spacing w:after="80" w:before="80"/>
        <w:jc w:val="left"/>
      </w:pPr>
      <w:r>
        <w:rPr>
          <w:rFonts w:ascii="Arial" w:cs="Arial" w:eastAsia="Arial" w:hAnsi="Arial"/>
          <w:color w:val="000000"/>
          <w:sz w:val="20"/>
          <w:szCs w:val="20"/>
        </w:rPr>
        <w:t xml:space="preserve">Violations are assessed by the Core Committee and decided by the Supreme Authority. The progressive penalty structure in Document 3 applies. The Supreme Authority's decisions are final.</w:t>
      </w:r>
    </w:p>
    <w:p>
      <w:pPr>
        <w:pStyle w:val="Heading1"/>
        <w:pBdr>
          <w:bottom w:val="single" w:color="1A3C6E" w:sz="6"/>
        </w:pBdr>
        <w:spacing w:after="200" w:before="480"/>
      </w:pPr>
      <w:r>
        <w:rPr>
          <w:rFonts w:ascii="Arial" w:cs="Arial" w:eastAsia="Arial" w:hAnsi="Arial"/>
          <w:b/>
          <w:bCs/>
          <w:color w:val="1A3C6E"/>
          <w:sz w:val="34"/>
          <w:szCs w:val="34"/>
        </w:rPr>
        <w:t xml:space="preserve">4. Appeals</w:t>
      </w:r>
    </w:p>
    <w:p>
      <w:pPr>
        <w:spacing w:after="80" w:before="80"/>
        <w:jc w:val="left"/>
      </w:pPr>
      <w:r>
        <w:rPr>
          <w:rFonts w:ascii="Arial" w:cs="Arial" w:eastAsia="Arial" w:hAnsi="Arial"/>
          <w:color w:val="000000"/>
          <w:sz w:val="20"/>
          <w:szCs w:val="20"/>
        </w:rPr>
        <w:t xml:space="preserve">Participants removed for Code of Conduct violations may only challenge the removal through the external arbitration process in Document 1, Section 10. There is no internal appeal mechanism.</w:t>
      </w:r>
    </w:p>
    <w:p>
      <w:r>
        <w:br w:type="page"/>
      </w:r>
    </w:p>
    <w:p>
      <w:pPr>
        <w:shd w:fill="0A1F44" w:val="clear"/>
        <w:spacing w:after="160" w:before="0"/>
        <w:jc w:val="center"/>
      </w:pPr>
      <w:r>
        <w:rPr>
          <w:rFonts w:ascii="Arial" w:cs="Arial" w:eastAsia="Arial" w:hAnsi="Arial"/>
          <w:b/>
          <w:bCs/>
          <w:color w:val="FFFFFF"/>
          <w:sz w:val="36"/>
          <w:szCs w:val="36"/>
        </w:rPr>
        <w:t xml:space="preserve">  DOCUMENT 8: PARTICIPATION FEE &amp; REVENUE DISTRIBUTION POLICY  </w:t>
      </w:r>
    </w:p>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1. Nature of the Participation Fee</w:t>
      </w:r>
    </w:p>
    <w:p>
      <w:pPr>
        <w:spacing w:after="80" w:before="80"/>
        <w:jc w:val="left"/>
      </w:pPr>
      <w:r>
        <w:rPr>
          <w:rFonts w:ascii="Arial" w:cs="Arial" w:eastAsia="Arial" w:hAnsi="Arial"/>
          <w:color w:val="000000"/>
          <w:sz w:val="20"/>
          <w:szCs w:val="20"/>
        </w:rPr>
        <w:t xml:space="preserve">The participation fee, where applicable, is a voluntary cost-sharing contribution covering infrastructure and operational costs for a specific project. It is NOT an investment, equity purchase, service fee, or guarantee of returns. Paying the fee creates no legal entitlement to revenue beyond the distribution schedule herein.</w:t>
      </w:r>
    </w:p>
    <w:p>
      <w:pPr>
        <w:pStyle w:val="Heading1"/>
        <w:pBdr>
          <w:bottom w:val="single" w:color="1A3C6E" w:sz="6"/>
        </w:pBdr>
        <w:spacing w:after="200" w:before="480"/>
      </w:pPr>
      <w:r>
        <w:rPr>
          <w:rFonts w:ascii="Arial" w:cs="Arial" w:eastAsia="Arial" w:hAnsi="Arial"/>
          <w:b/>
          <w:bCs/>
          <w:color w:val="1A3C6E"/>
          <w:sz w:val="34"/>
          <w:szCs w:val="34"/>
        </w:rPr>
        <w:t xml:space="preserve">2. Fee Calculation</w:t>
      </w:r>
    </w:p>
    <w:p>
      <w:pPr>
        <w:spacing w:after="80" w:before="80"/>
      </w:pPr>
      <w:r>
        <w:rPr>
          <w:rFonts w:ascii="Arial" w:cs="Arial" w:eastAsia="Arial" w:hAnsi="Arial"/>
          <w:b/>
          <w:bCs/>
          <w:color w:val="000000"/>
          <w:sz w:val="20"/>
          <w:szCs w:val="20"/>
        </w:rPr>
        <w:t xml:space="preserve">Total Infrastructure + Hosting + Operational Costs ÷ Number of Paying Participants = Individual Fee</w:t>
      </w:r>
    </w:p>
    <w:p>
      <w:pPr>
        <w:spacing w:after="60" w:before="60"/>
      </w:pPr>
      <w:r>
        <w:t xml:space="preserve"/>
      </w:r>
    </w:p>
    <w:p>
      <w:pPr>
        <w:spacing w:after="80" w:before="80"/>
        <w:jc w:val="left"/>
      </w:pPr>
      <w:r>
        <w:rPr>
          <w:rFonts w:ascii="Arial" w:cs="Arial" w:eastAsia="Arial" w:hAnsi="Arial"/>
          <w:color w:val="000000"/>
          <w:sz w:val="20"/>
          <w:szCs w:val="20"/>
        </w:rPr>
        <w:t xml:space="preserve">The fee is communicated transparently before participants commit. TDC will not collect a fee larger than the actual costs attributable to that project.</w:t>
      </w:r>
    </w:p>
    <w:p>
      <w:pPr>
        <w:pStyle w:val="Heading1"/>
        <w:pBdr>
          <w:bottom w:val="single" w:color="1A3C6E" w:sz="6"/>
        </w:pBdr>
        <w:spacing w:after="200" w:before="480"/>
      </w:pPr>
      <w:r>
        <w:rPr>
          <w:rFonts w:ascii="Arial" w:cs="Arial" w:eastAsia="Arial" w:hAnsi="Arial"/>
          <w:b/>
          <w:bCs/>
          <w:color w:val="1A3C6E"/>
          <w:sz w:val="34"/>
          <w:szCs w:val="34"/>
        </w:rPr>
        <w:t xml:space="preserve">3. Participant Benefits by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BENEFIT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NON-PAYING PARTICIPANT</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Full project participation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Hands-on build experience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Standard completion letter (build phase)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Name + photo credit on shipped product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(with consent)</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Goodwill profit-sharing (TDC discretion)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Eligible if revenue thresholds met</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Refund of participation fee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 — no fee paid</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1–2 week post-launch scaling internship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Enhanced completion letter (build + scale)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Priority distribution eligibility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BENEFIT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PAYING PARTICIPANT</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All benefits of non-paying participant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1–2 week post-launch scaling internship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Enhanced completion letter (build + scale)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Priority in distribution waterfall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refunded first</w:t>
            </w:r>
          </w:p>
        </w:tc>
      </w:tr>
      <w:t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20"/>
                <w:szCs w:val="20"/>
              </w:rPr>
              <w:t xml:space="preserve">Refund eligibility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if revenue threshold met</w:t>
            </w:r>
          </w:p>
        </w:tc>
      </w:tr>
    </w:tbl>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4. Revenue Distribution Waterfall</w:t>
      </w:r>
    </w:p>
    <w:p>
      <w:pPr>
        <w:shd w:fill="0A1F44" w:val="clear"/>
        <w:spacing w:after="160" w:before="200"/>
      </w:pPr>
      <w:r>
        <w:rPr>
          <w:rFonts w:ascii="Arial" w:cs="Arial" w:eastAsia="Arial" w:hAnsi="Arial"/>
          <w:b/>
          <w:bCs/>
          <w:color w:val="FFFFFF"/>
          <w:sz w:val="24"/>
          <w:szCs w:val="24"/>
        </w:rPr>
        <w:t xml:space="preserve">    DISTRIBUTION TIERS — APPLIED IN STRICT ORDER    </w:t>
      </w:r>
    </w:p>
    <w:p>
      <w:pPr>
        <w:spacing w:after="60" w:before="60"/>
      </w:pPr>
      <w:r>
        <w:t xml:space="preserve"/>
      </w:r>
    </w:p>
    <w:p>
      <w:pPr>
        <w:spacing w:after="80" w:before="80"/>
        <w:jc w:val="left"/>
      </w:pPr>
      <w:r>
        <w:rPr>
          <w:rFonts w:ascii="Arial" w:cs="Arial" w:eastAsia="Arial" w:hAnsi="Arial"/>
          <w:color w:val="000000"/>
          <w:sz w:val="20"/>
          <w:szCs w:val="20"/>
        </w:rPr>
        <w:t xml:space="preserve">All revenue is owned by TDC. Distribution is discretionary and subject to the following conditions:</w:t>
      </w:r>
    </w:p>
    <w:p>
      <w:pPr>
        <w:spacing w:after="60" w:before="60"/>
      </w:pPr>
      <w:r>
        <w:t xml:space="preserve"/>
      </w:r>
    </w:p>
    <w:p>
      <w:pPr>
        <w:spacing w:after="80" w:before="200"/>
      </w:pPr>
      <w:r>
        <w:rPr>
          <w:rFonts w:ascii="Arial" w:cs="Arial" w:eastAsia="Arial" w:hAnsi="Arial"/>
          <w:b/>
          <w:bCs/>
          <w:color w:val="444444"/>
          <w:sz w:val="22"/>
          <w:szCs w:val="22"/>
        </w:rPr>
        <w:t xml:space="preserve">Tier A — Large Revenue Threshold Met at 3 Months</w:t>
      </w:r>
    </w:p>
    <w:p>
      <w:pPr>
        <w:pStyle w:val="ListParagraph"/>
        <w:numPr>
          <w:ilvl w:val="0"/>
          <w:numId w:val="3"/>
        </w:numPr>
        <w:spacing w:after="40" w:before="40"/>
      </w:pPr>
      <w:r>
        <w:rPr>
          <w:rFonts w:ascii="Arial" w:cs="Arial" w:eastAsia="Arial" w:hAnsi="Arial"/>
          <w:color w:val="000000"/>
          <w:sz w:val="20"/>
          <w:szCs w:val="20"/>
        </w:rPr>
        <w:t xml:space="preserve">Refund all participation fees to paying participants in full</w:t>
      </w:r>
    </w:p>
    <w:p>
      <w:pPr>
        <w:pStyle w:val="ListParagraph"/>
        <w:numPr>
          <w:ilvl w:val="0"/>
          <w:numId w:val="3"/>
        </w:numPr>
        <w:spacing w:after="40" w:before="40"/>
      </w:pPr>
      <w:r>
        <w:rPr>
          <w:rFonts w:ascii="Arial" w:cs="Arial" w:eastAsia="Arial" w:hAnsi="Arial"/>
          <w:color w:val="000000"/>
          <w:sz w:val="20"/>
          <w:szCs w:val="20"/>
        </w:rPr>
        <w:t xml:space="preserve">Deduct all hosting, server, infrastructure, and operational costs</w:t>
      </w:r>
    </w:p>
    <w:p>
      <w:pPr>
        <w:pStyle w:val="ListParagraph"/>
        <w:numPr>
          <w:ilvl w:val="0"/>
          <w:numId w:val="3"/>
        </w:numPr>
        <w:spacing w:after="40" w:before="40"/>
      </w:pPr>
      <w:r>
        <w:rPr>
          <w:rFonts w:ascii="Arial" w:cs="Arial" w:eastAsia="Arial" w:hAnsi="Arial"/>
          <w:color w:val="000000"/>
          <w:sz w:val="20"/>
          <w:szCs w:val="20"/>
        </w:rPr>
        <w:t xml:space="preserve">Distribute remaining net revenue: 50% to TDC, 50% to Project Lead</w:t>
      </w:r>
    </w:p>
    <w:p>
      <w:pPr>
        <w:pStyle w:val="ListParagraph"/>
        <w:numPr>
          <w:ilvl w:val="0"/>
          <w:numId w:val="3"/>
        </w:numPr>
        <w:spacing w:after="40" w:before="40"/>
      </w:pPr>
      <w:r>
        <w:rPr>
          <w:rFonts w:ascii="Arial" w:cs="Arial" w:eastAsia="Arial" w:hAnsi="Arial"/>
          <w:color w:val="000000"/>
          <w:sz w:val="20"/>
          <w:szCs w:val="20"/>
        </w:rPr>
        <w:t xml:space="preserve">TDC's 50% covers Core Committee compensation and community operations</w:t>
      </w:r>
    </w:p>
    <w:p>
      <w:pPr>
        <w:pStyle w:val="ListParagraph"/>
        <w:numPr>
          <w:ilvl w:val="0"/>
          <w:numId w:val="3"/>
        </w:numPr>
        <w:spacing w:after="40" w:before="40"/>
      </w:pPr>
      <w:r>
        <w:rPr>
          <w:rFonts w:ascii="Arial" w:cs="Arial" w:eastAsia="Arial" w:hAnsi="Arial"/>
          <w:color w:val="000000"/>
          <w:sz w:val="20"/>
          <w:szCs w:val="20"/>
        </w:rPr>
        <w:t xml:space="preserve">Non-paying participants eligible for goodwill profit-share from TDC's portion at TDC's sole discretion</w:t>
      </w:r>
    </w:p>
    <w:p>
      <w:pPr>
        <w:spacing w:after="60" w:before="60"/>
      </w:pPr>
      <w:r>
        <w:t xml:space="preserve"/>
      </w:r>
    </w:p>
    <w:p>
      <w:pPr>
        <w:spacing w:after="80" w:before="200"/>
      </w:pPr>
      <w:r>
        <w:rPr>
          <w:rFonts w:ascii="Arial" w:cs="Arial" w:eastAsia="Arial" w:hAnsi="Arial"/>
          <w:b/>
          <w:bCs/>
          <w:color w:val="444444"/>
          <w:sz w:val="22"/>
          <w:szCs w:val="22"/>
        </w:rPr>
        <w:t xml:space="preserve">Tier B — Small Revenue Threshold Met at 3 Months</w:t>
      </w:r>
    </w:p>
    <w:p>
      <w:pPr>
        <w:pStyle w:val="ListParagraph"/>
        <w:numPr>
          <w:ilvl w:val="0"/>
          <w:numId w:val="3"/>
        </w:numPr>
        <w:spacing w:after="40" w:before="40"/>
      </w:pPr>
      <w:r>
        <w:rPr>
          <w:rFonts w:ascii="Arial" w:cs="Arial" w:eastAsia="Arial" w:hAnsi="Arial"/>
          <w:color w:val="000000"/>
          <w:sz w:val="20"/>
          <w:szCs w:val="20"/>
        </w:rPr>
        <w:t xml:space="preserve">Refund participation fees to paying participants first (highest priority)</w:t>
      </w:r>
    </w:p>
    <w:p>
      <w:pPr>
        <w:pStyle w:val="ListParagraph"/>
        <w:numPr>
          <w:ilvl w:val="0"/>
          <w:numId w:val="3"/>
        </w:numPr>
        <w:spacing w:after="40" w:before="40"/>
      </w:pPr>
      <w:r>
        <w:rPr>
          <w:rFonts w:ascii="Arial" w:cs="Arial" w:eastAsia="Arial" w:hAnsi="Arial"/>
          <w:color w:val="000000"/>
          <w:sz w:val="20"/>
          <w:szCs w:val="20"/>
        </w:rPr>
        <w:t xml:space="preserve">Deduct hosting, server, infrastructure, and operational costs</w:t>
      </w:r>
    </w:p>
    <w:p>
      <w:pPr>
        <w:pStyle w:val="ListParagraph"/>
        <w:numPr>
          <w:ilvl w:val="0"/>
          <w:numId w:val="3"/>
        </w:numPr>
        <w:spacing w:after="40" w:before="40"/>
      </w:pPr>
      <w:r>
        <w:rPr>
          <w:rFonts w:ascii="Arial" w:cs="Arial" w:eastAsia="Arial" w:hAnsi="Arial"/>
          <w:color w:val="000000"/>
          <w:sz w:val="20"/>
          <w:szCs w:val="20"/>
        </w:rPr>
        <w:t xml:space="preserve">Remaining net revenue distributed: 50% TDC, 50% Project Lead</w:t>
      </w:r>
    </w:p>
    <w:p>
      <w:pPr>
        <w:pStyle w:val="ListParagraph"/>
        <w:numPr>
          <w:ilvl w:val="0"/>
          <w:numId w:val="3"/>
        </w:numPr>
        <w:spacing w:after="40" w:before="40"/>
      </w:pPr>
      <w:r>
        <w:rPr>
          <w:rFonts w:ascii="Arial" w:cs="Arial" w:eastAsia="Arial" w:hAnsi="Arial"/>
          <w:color w:val="000000"/>
          <w:sz w:val="20"/>
          <w:szCs w:val="20"/>
        </w:rPr>
        <w:t xml:space="preserve">If insufficient revenue remains after Tier 1 obligations, lower-priority tiers receive nothing</w:t>
      </w:r>
    </w:p>
    <w:p>
      <w:pPr>
        <w:pStyle w:val="ListParagraph"/>
        <w:numPr>
          <w:ilvl w:val="0"/>
          <w:numId w:val="3"/>
        </w:numPr>
        <w:spacing w:after="40" w:before="40"/>
      </w:pPr>
      <w:r>
        <w:rPr>
          <w:rFonts w:ascii="Arial" w:cs="Arial" w:eastAsia="Arial" w:hAnsi="Arial"/>
          <w:color w:val="000000"/>
          <w:sz w:val="20"/>
          <w:szCs w:val="20"/>
        </w:rPr>
        <w:t xml:space="preserve">Sequence: paying participant refunds → hosting/costs → TDC 50% → Project Lead 50%</w:t>
      </w:r>
    </w:p>
    <w:p>
      <w:pPr>
        <w:spacing w:after="60" w:before="60"/>
      </w:pPr>
      <w:r>
        <w:t xml:space="preserve"/>
      </w:r>
    </w:p>
    <w:p>
      <w:pPr>
        <w:spacing w:after="80" w:before="200"/>
      </w:pPr>
      <w:r>
        <w:rPr>
          <w:rFonts w:ascii="Arial" w:cs="Arial" w:eastAsia="Arial" w:hAnsi="Arial"/>
          <w:b/>
          <w:bCs/>
          <w:color w:val="444444"/>
          <w:sz w:val="22"/>
          <w:szCs w:val="22"/>
        </w:rPr>
        <w:t xml:space="preserve">Tier C — Below Threshold at 3 Months (Extended Evaluation)</w:t>
      </w:r>
    </w:p>
    <w:p>
      <w:pPr>
        <w:spacing w:after="80" w:before="80"/>
        <w:jc w:val="left"/>
      </w:pPr>
      <w:r>
        <w:rPr>
          <w:rFonts w:ascii="Arial" w:cs="Arial" w:eastAsia="Arial" w:hAnsi="Arial"/>
          <w:color w:val="000000"/>
          <w:sz w:val="20"/>
          <w:szCs w:val="20"/>
        </w:rPr>
        <w:t xml:space="preserve">Evaluation period extended to 6 months. Same Tier A or Tier B logic applies at the 6-month mark based on cumulative revenue.</w:t>
      </w:r>
    </w:p>
    <w:p>
      <w:pPr>
        <w:spacing w:after="60" w:before="60"/>
      </w:pPr>
      <w:r>
        <w:t xml:space="preserve"/>
      </w:r>
    </w:p>
    <w:p>
      <w:pPr>
        <w:spacing w:after="80" w:before="200"/>
      </w:pPr>
      <w:r>
        <w:rPr>
          <w:rFonts w:ascii="Arial" w:cs="Arial" w:eastAsia="Arial" w:hAnsi="Arial"/>
          <w:b/>
          <w:bCs/>
          <w:color w:val="444444"/>
          <w:sz w:val="22"/>
          <w:szCs w:val="22"/>
        </w:rPr>
        <w:t xml:space="preserve">Tier D — Below Threshold at 6 Months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FDE8E8" w:val="clear"/>
            <w:tcMar>
              <w:top w:type="dxa" w:w="160"/>
              <w:left w:type="dxa" w:w="240"/>
              <w:bottom w:type="dxa" w:w="160"/>
              <w:right w:type="dxa" w:w="240"/>
            </w:tcMar>
          </w:tcPr>
          <w:p>
            <w:r>
              <w:rPr>
                <w:rFonts w:ascii="Arial" w:cs="Arial" w:eastAsia="Arial" w:hAnsi="Arial"/>
                <w:b/>
                <w:bCs/>
                <w:color w:val="8B0000"/>
                <w:sz w:val="22"/>
                <w:szCs w:val="22"/>
              </w:rPr>
              <w:t xml:space="preserve">⚠  NO DISTRIBUTION — TDC RETAINS ALL REVENUE</w:t>
            </w:r>
          </w:p>
          <w:p>
            <w:r>
              <w:rPr>
                <w:rFonts w:ascii="Arial" w:cs="Arial" w:eastAsia="Arial" w:hAnsi="Arial"/>
                <w:color w:val="5C0000"/>
                <w:sz w:val="20"/>
                <w:szCs w:val="20"/>
              </w:rPr>
              <w:t xml:space="preserve">If cumulative revenue at the 6-month mark is below the minimum viable threshold set for the project, TDC retains 100% of all revenue to cover ongoing hosting, server, and operational costs. No refunds, no profit shares, no goodwill payments. This is final — there is no further evaluation period or appeal.</w:t>
            </w:r>
          </w:p>
        </w:tc>
      </w:tr>
    </w:tbl>
    <w:p>
      <w:pPr>
        <w:spacing w:after="60" w:before="60"/>
      </w:pPr>
      <w:r>
        <w:t xml:space="preserve"/>
      </w:r>
    </w:p>
    <w:p>
      <w:pPr>
        <w:spacing w:after="80" w:before="200"/>
      </w:pPr>
      <w:r>
        <w:rPr>
          <w:rFonts w:ascii="Arial" w:cs="Arial" w:eastAsia="Arial" w:hAnsi="Arial"/>
          <w:b/>
          <w:bCs/>
          <w:color w:val="444444"/>
          <w:sz w:val="22"/>
          <w:szCs w:val="22"/>
        </w:rPr>
        <w:t xml:space="preserve">Funded Projects (No Fee Collected)</w:t>
      </w:r>
    </w:p>
    <w:p>
      <w:pPr>
        <w:spacing w:after="80" w:before="80"/>
        <w:jc w:val="left"/>
      </w:pPr>
      <w:r>
        <w:rPr>
          <w:rFonts w:ascii="Arial" w:cs="Arial" w:eastAsia="Arial" w:hAnsi="Arial"/>
          <w:color w:val="000000"/>
          <w:sz w:val="20"/>
          <w:szCs w:val="20"/>
        </w:rPr>
        <w:t xml:space="preserve">When TDC secures external funding or sponsorship: no participation fee is collected; no refunds are applicable; revenue distribution begins directly with customer/product revenue following the waterfall: hosting/costs deducted → TDC 50% → Project Lead 50% → non-paying participant goodwill share at TDC discretion.</w:t>
      </w:r>
    </w:p>
    <w:p>
      <w:pPr>
        <w:pStyle w:val="Heading1"/>
        <w:pBdr>
          <w:bottom w:val="single" w:color="1A3C6E" w:sz="6"/>
        </w:pBdr>
        <w:spacing w:after="200" w:before="480"/>
      </w:pPr>
      <w:r>
        <w:rPr>
          <w:rFonts w:ascii="Arial" w:cs="Arial" w:eastAsia="Arial" w:hAnsi="Arial"/>
          <w:b/>
          <w:bCs/>
          <w:color w:val="1A3C6E"/>
          <w:sz w:val="34"/>
          <w:szCs w:val="34"/>
        </w:rPr>
        <w:t xml:space="preserve">5. Revenue Thresholds</w:t>
      </w:r>
    </w:p>
    <w:p>
      <w:pPr>
        <w:spacing w:after="80" w:before="80"/>
        <w:jc w:val="left"/>
      </w:pPr>
      <w:r>
        <w:rPr>
          <w:rFonts w:ascii="Arial" w:cs="Arial" w:eastAsia="Arial" w:hAnsi="Arial"/>
          <w:color w:val="000000"/>
          <w:sz w:val="20"/>
          <w:szCs w:val="20"/>
        </w:rPr>
        <w:t xml:space="preserve">The specific Large X and Small X thresholds are set by the Supreme Authority for each project and communicated in writing at project launch. Thresholds reflect the project's cost structure, market size, and strategic value to TDC. Thresholds are set at TDC's sole discretion and are not negotiable.</w:t>
      </w:r>
    </w:p>
    <w:p>
      <w:pPr>
        <w:pStyle w:val="Heading1"/>
        <w:pBdr>
          <w:bottom w:val="single" w:color="1A3C6E" w:sz="6"/>
        </w:pBdr>
        <w:spacing w:after="200" w:before="480"/>
      </w:pPr>
      <w:r>
        <w:rPr>
          <w:rFonts w:ascii="Arial" w:cs="Arial" w:eastAsia="Arial" w:hAnsi="Arial"/>
          <w:b/>
          <w:bCs/>
          <w:color w:val="1A3C6E"/>
          <w:sz w:val="34"/>
          <w:szCs w:val="34"/>
        </w:rPr>
        <w:t xml:space="preserve">6. One-Time Distribution</w:t>
      </w:r>
    </w:p>
    <w:p>
      <w:pPr>
        <w:spacing w:after="80" w:before="80"/>
        <w:jc w:val="left"/>
      </w:pPr>
      <w:r>
        <w:rPr>
          <w:rFonts w:ascii="Arial" w:cs="Arial" w:eastAsia="Arial" w:hAnsi="Arial"/>
          <w:color w:val="000000"/>
          <w:sz w:val="20"/>
          <w:szCs w:val="20"/>
        </w:rPr>
        <w:t xml:space="preserve">All financial distributions to participants are one-time events calculated over the defined evaluation period. Participants have no ongoing entitlement to revenue from TDC products after their distribution is made.</w:t>
      </w:r>
    </w:p>
    <w:p>
      <w:pPr>
        <w:pStyle w:val="Heading1"/>
        <w:pBdr>
          <w:bottom w:val="single" w:color="1A3C6E" w:sz="6"/>
        </w:pBdr>
        <w:spacing w:after="200" w:before="480"/>
      </w:pPr>
      <w:r>
        <w:rPr>
          <w:rFonts w:ascii="Arial" w:cs="Arial" w:eastAsia="Arial" w:hAnsi="Arial"/>
          <w:b/>
          <w:bCs/>
          <w:color w:val="1A3C6E"/>
          <w:sz w:val="34"/>
          <w:szCs w:val="34"/>
        </w:rPr>
        <w:t xml:space="preserve">7. Disputes on Distributions</w:t>
      </w:r>
    </w:p>
    <w:p>
      <w:pPr>
        <w:spacing w:after="80" w:before="80"/>
        <w:jc w:val="left"/>
      </w:pPr>
      <w:r>
        <w:rPr>
          <w:rFonts w:ascii="Arial" w:cs="Arial" w:eastAsia="Arial" w:hAnsi="Arial"/>
          <w:color w:val="000000"/>
          <w:sz w:val="20"/>
          <w:szCs w:val="20"/>
        </w:rPr>
        <w:t xml:space="preserve">Any dispute regarding a revenue distribution calculation must be raised in writing within 14 days of the distribution. The Supreme Authority's determination on all distribution calculations is final. Participants waive any right to audit TDC's financial records.</w:t>
      </w:r>
    </w:p>
    <w:p>
      <w:pPr>
        <w:pStyle w:val="Heading1"/>
        <w:pBdr>
          <w:bottom w:val="single" w:color="1A3C6E" w:sz="6"/>
        </w:pBdr>
        <w:spacing w:after="200" w:before="480"/>
      </w:pPr>
      <w:r>
        <w:rPr>
          <w:rFonts w:ascii="Arial" w:cs="Arial" w:eastAsia="Arial" w:hAnsi="Arial"/>
          <w:b/>
          <w:bCs/>
          <w:color w:val="1A3C6E"/>
          <w:sz w:val="34"/>
          <w:szCs w:val="34"/>
        </w:rPr>
        <w:t xml:space="preserve">8. Tax Obligations</w:t>
      </w:r>
    </w:p>
    <w:p>
      <w:pPr>
        <w:spacing w:after="80" w:before="80"/>
        <w:jc w:val="left"/>
      </w:pPr>
      <w:r>
        <w:rPr>
          <w:rFonts w:ascii="Arial" w:cs="Arial" w:eastAsia="Arial" w:hAnsi="Arial"/>
          <w:color w:val="000000"/>
          <w:sz w:val="20"/>
          <w:szCs w:val="20"/>
        </w:rPr>
        <w:t xml:space="preserve">Participants are solely responsible for any tax obligations arising from financial distributions received from TDC. TDC does not withhold tax on distributions and makes no representations about the tax treatment of such distributions.</w:t>
      </w:r>
    </w:p>
    <w:p>
      <w:r>
        <w:br w:type="page"/>
      </w:r>
    </w:p>
    <w:p>
      <w:pPr>
        <w:shd w:fill="0A1F44" w:val="clear"/>
        <w:spacing w:after="160" w:before="0"/>
        <w:jc w:val="center"/>
      </w:pPr>
      <w:r>
        <w:rPr>
          <w:rFonts w:ascii="Arial" w:cs="Arial" w:eastAsia="Arial" w:hAnsi="Arial"/>
          <w:b/>
          <w:bCs/>
          <w:color w:val="FFFFFF"/>
          <w:sz w:val="36"/>
          <w:szCs w:val="36"/>
        </w:rPr>
        <w:t xml:space="preserve">  DOCUMENT 9: DISCLAIMER &amp; LIMITATION OF LIABILITY  </w:t>
      </w:r>
    </w:p>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1. No Guarantee of Financial Return</w:t>
      </w:r>
    </w:p>
    <w:p>
      <w:pPr>
        <w:spacing w:after="80" w:before="80"/>
        <w:jc w:val="left"/>
      </w:pPr>
      <w:r>
        <w:rPr>
          <w:rFonts w:ascii="Arial" w:cs="Arial" w:eastAsia="Arial" w:hAnsi="Arial"/>
          <w:color w:val="000000"/>
          <w:sz w:val="20"/>
          <w:szCs w:val="20"/>
        </w:rPr>
        <w:t xml:space="preserve">TDC MAKES ABSOLUTELY NO GUARANTEE, REPRESENTATION, OR WARRANTY, EXPRESS OR IMPLIED, THAT ANY PRODUCT BUILT ON THE PLATFORM WILL GENERATE REVENUE, ACHIEVE COMMERCIAL SUCCESS, OR RESULT IN ANY FINANCIAL DISTRIBUTION TO PARTICIPANTS. ALL DISTRIBUTIONS ARE CONDITIONAL, DISCRETIONARY, AND NON-GUARANTEED.</w:t>
      </w:r>
    </w:p>
    <w:p>
      <w:pPr>
        <w:pStyle w:val="Heading1"/>
        <w:pBdr>
          <w:bottom w:val="single" w:color="1A3C6E" w:sz="6"/>
        </w:pBdr>
        <w:spacing w:after="200" w:before="480"/>
      </w:pPr>
      <w:r>
        <w:rPr>
          <w:rFonts w:ascii="Arial" w:cs="Arial" w:eastAsia="Arial" w:hAnsi="Arial"/>
          <w:b/>
          <w:bCs/>
          <w:color w:val="1A3C6E"/>
          <w:sz w:val="34"/>
          <w:szCs w:val="34"/>
        </w:rPr>
        <w:t xml:space="preserve">2. No Career or Employment Guarantee</w:t>
      </w:r>
    </w:p>
    <w:p>
      <w:pPr>
        <w:spacing w:after="80" w:before="80"/>
        <w:jc w:val="left"/>
      </w:pPr>
      <w:r>
        <w:rPr>
          <w:rFonts w:ascii="Arial" w:cs="Arial" w:eastAsia="Arial" w:hAnsi="Arial"/>
          <w:color w:val="000000"/>
          <w:sz w:val="20"/>
          <w:szCs w:val="20"/>
        </w:rPr>
        <w:t xml:space="preserve">Participation in TDC does not guarantee employment, placement, internship offers, salary negotiations, or career advancement. Completion letters are documentation only and do not constitute endorsements, employment references, or professional certifications.</w:t>
      </w:r>
    </w:p>
    <w:p>
      <w:pPr>
        <w:pStyle w:val="Heading1"/>
        <w:pBdr>
          <w:bottom w:val="single" w:color="1A3C6E" w:sz="6"/>
        </w:pBdr>
        <w:spacing w:after="200" w:before="480"/>
      </w:pPr>
      <w:r>
        <w:rPr>
          <w:rFonts w:ascii="Arial" w:cs="Arial" w:eastAsia="Arial" w:hAnsi="Arial"/>
          <w:b/>
          <w:bCs/>
          <w:color w:val="1A3C6E"/>
          <w:sz w:val="34"/>
          <w:szCs w:val="34"/>
        </w:rPr>
        <w:t xml:space="preserve">3. Platform Disclaimer</w:t>
      </w:r>
    </w:p>
    <w:p>
      <w:pPr>
        <w:spacing w:after="80" w:before="80"/>
        <w:jc w:val="left"/>
      </w:pPr>
      <w:r>
        <w:rPr>
          <w:rFonts w:ascii="Arial" w:cs="Arial" w:eastAsia="Arial" w:hAnsi="Arial"/>
          <w:color w:val="000000"/>
          <w:sz w:val="20"/>
          <w:szCs w:val="20"/>
        </w:rPr>
        <w:t xml:space="preserve">TDC's platform, tools, infrastructure, and services are provided strictly on an "AS IS" and "AS AVAILABLE" basis, without warranty of any kind. TDC does not warrant uninterrupted access, error-free operation, security of data, fitness for any particular purpose, or non-infringement. Participants use the platform at their own risk.</w:t>
      </w:r>
    </w:p>
    <w:p>
      <w:pPr>
        <w:pStyle w:val="Heading1"/>
        <w:pBdr>
          <w:bottom w:val="single" w:color="1A3C6E" w:sz="6"/>
        </w:pBdr>
        <w:spacing w:after="200" w:before="480"/>
      </w:pPr>
      <w:r>
        <w:rPr>
          <w:rFonts w:ascii="Arial" w:cs="Arial" w:eastAsia="Arial" w:hAnsi="Arial"/>
          <w:b/>
          <w:bCs/>
          <w:color w:val="1A3C6E"/>
          <w:sz w:val="34"/>
          <w:szCs w:val="34"/>
        </w:rPr>
        <w:t xml:space="preserve">4. Limitation of Liability</w:t>
      </w:r>
    </w:p>
    <w:p>
      <w:pPr>
        <w:spacing w:after="80" w:before="80"/>
        <w:jc w:val="left"/>
      </w:pPr>
      <w:r>
        <w:rPr>
          <w:rFonts w:ascii="Arial" w:cs="Arial" w:eastAsia="Arial" w:hAnsi="Arial"/>
          <w:color w:val="000000"/>
          <w:sz w:val="20"/>
          <w:szCs w:val="20"/>
        </w:rPr>
        <w:t xml:space="preserve">TO THE MAXIMUM EXTENT PERMITTED BY APPLICABLE LAW:</w:t>
      </w:r>
    </w:p>
    <w:p>
      <w:pPr>
        <w:pStyle w:val="ListParagraph"/>
        <w:numPr>
          <w:ilvl w:val="0"/>
          <w:numId w:val="2"/>
        </w:numPr>
        <w:spacing w:after="40" w:before="40"/>
      </w:pPr>
      <w:r>
        <w:rPr>
          <w:rFonts w:ascii="Arial" w:cs="Arial" w:eastAsia="Arial" w:hAnsi="Arial"/>
          <w:color w:val="000000"/>
          <w:sz w:val="20"/>
          <w:szCs w:val="20"/>
        </w:rPr>
        <w:t xml:space="preserve">TDC SHALL NOT BE LIABLE FOR ANY INDIRECT, INCIDENTAL, SPECIAL, CONSEQUENTIAL, PUNITIVE, OR EXEMPLARY DAMAGES, INCLUDING LOSS OF REVENUE, LOSS OF PROFIT, LOSS OF OPPORTUNITY, LOSS OF DATA, OR REPUTATIONAL HARM</w:t>
      </w:r>
    </w:p>
    <w:p>
      <w:pPr>
        <w:pStyle w:val="ListParagraph"/>
        <w:numPr>
          <w:ilvl w:val="0"/>
          <w:numId w:val="2"/>
        </w:numPr>
        <w:spacing w:after="40" w:before="40"/>
      </w:pPr>
      <w:r>
        <w:rPr>
          <w:rFonts w:ascii="Arial" w:cs="Arial" w:eastAsia="Arial" w:hAnsi="Arial"/>
          <w:color w:val="000000"/>
          <w:sz w:val="20"/>
          <w:szCs w:val="20"/>
        </w:rPr>
        <w:t xml:space="preserve">TDC'S MAXIMUM AGGREGATE LIABILITY TO ANY PARTICIPANT SHALL IN NO EVENT EXCEED THE AMOUNT OF THE PARTICIPATION FEE PAID BY THAT PARTICIPANT TO TDC, OR INR 500 (FIVE HUNDRED RUPEES), WHICHEVER IS LOWER</w:t>
      </w:r>
    </w:p>
    <w:p>
      <w:pPr>
        <w:pStyle w:val="ListParagraph"/>
        <w:numPr>
          <w:ilvl w:val="0"/>
          <w:numId w:val="2"/>
        </w:numPr>
        <w:spacing w:after="40" w:before="40"/>
      </w:pPr>
      <w:r>
        <w:rPr>
          <w:rFonts w:ascii="Arial" w:cs="Arial" w:eastAsia="Arial" w:hAnsi="Arial"/>
          <w:color w:val="000000"/>
          <w:sz w:val="20"/>
          <w:szCs w:val="20"/>
        </w:rPr>
        <w:t xml:space="preserve">THIS LIMITATION APPLIES REGARDLESS OF THE LEGAL THEORY OF LIABILITY AND EVEN IF TDC HAS BEEN ADVISED OF THE POSSIBILITY OF SUCH DAMAGES</w:t>
      </w:r>
    </w:p>
    <w:p>
      <w:pPr>
        <w:pStyle w:val="Heading1"/>
        <w:pBdr>
          <w:bottom w:val="single" w:color="1A3C6E" w:sz="6"/>
        </w:pBdr>
        <w:spacing w:after="200" w:before="480"/>
      </w:pPr>
      <w:r>
        <w:rPr>
          <w:rFonts w:ascii="Arial" w:cs="Arial" w:eastAsia="Arial" w:hAnsi="Arial"/>
          <w:b/>
          <w:bCs/>
          <w:color w:val="1A3C6E"/>
          <w:sz w:val="34"/>
          <w:szCs w:val="34"/>
        </w:rPr>
        <w:t xml:space="preserve">5. Indemnification by Participant</w:t>
      </w:r>
    </w:p>
    <w:p>
      <w:pPr>
        <w:spacing w:after="80" w:before="80"/>
        <w:jc w:val="left"/>
      </w:pPr>
      <w:r>
        <w:rPr>
          <w:rFonts w:ascii="Arial" w:cs="Arial" w:eastAsia="Arial" w:hAnsi="Arial"/>
          <w:color w:val="000000"/>
          <w:sz w:val="20"/>
          <w:szCs w:val="20"/>
        </w:rPr>
        <w:t xml:space="preserve">Each participant agrees to defend, indemnify, and hold harmless TDC, its President/CEO/Director, Core Committee, officers, advisors, and affiliated persons from and against any claims, proceedings, liabilities, damages, losses, costs, and expenses (including reasonable legal fees) arising from or relating to:</w:t>
      </w:r>
    </w:p>
    <w:p>
      <w:pPr>
        <w:pStyle w:val="ListParagraph"/>
        <w:numPr>
          <w:ilvl w:val="0"/>
          <w:numId w:val="2"/>
        </w:numPr>
        <w:spacing w:after="40" w:before="40"/>
      </w:pPr>
      <w:r>
        <w:rPr>
          <w:rFonts w:ascii="Arial" w:cs="Arial" w:eastAsia="Arial" w:hAnsi="Arial"/>
          <w:color w:val="000000"/>
          <w:sz w:val="20"/>
          <w:szCs w:val="20"/>
        </w:rPr>
        <w:t xml:space="preserve">The participant's violation of any provision of this document package</w:t>
      </w:r>
    </w:p>
    <w:p>
      <w:pPr>
        <w:pStyle w:val="ListParagraph"/>
        <w:numPr>
          <w:ilvl w:val="0"/>
          <w:numId w:val="2"/>
        </w:numPr>
        <w:spacing w:after="40" w:before="40"/>
      </w:pPr>
      <w:r>
        <w:rPr>
          <w:rFonts w:ascii="Arial" w:cs="Arial" w:eastAsia="Arial" w:hAnsi="Arial"/>
          <w:color w:val="000000"/>
          <w:sz w:val="20"/>
          <w:szCs w:val="20"/>
        </w:rPr>
        <w:t xml:space="preserve">The participant's Unauthorised Actions</w:t>
      </w:r>
    </w:p>
    <w:p>
      <w:pPr>
        <w:pStyle w:val="ListParagraph"/>
        <w:numPr>
          <w:ilvl w:val="0"/>
          <w:numId w:val="2"/>
        </w:numPr>
        <w:spacing w:after="40" w:before="40"/>
      </w:pPr>
      <w:r>
        <w:rPr>
          <w:rFonts w:ascii="Arial" w:cs="Arial" w:eastAsia="Arial" w:hAnsi="Arial"/>
          <w:color w:val="000000"/>
          <w:sz w:val="20"/>
          <w:szCs w:val="20"/>
        </w:rPr>
        <w:t xml:space="preserve">Any third-party IP claims arising from the participant's work product contributions</w:t>
      </w:r>
    </w:p>
    <w:p>
      <w:pPr>
        <w:pStyle w:val="ListParagraph"/>
        <w:numPr>
          <w:ilvl w:val="0"/>
          <w:numId w:val="2"/>
        </w:numPr>
        <w:spacing w:after="40" w:before="40"/>
      </w:pPr>
      <w:r>
        <w:rPr>
          <w:rFonts w:ascii="Arial" w:cs="Arial" w:eastAsia="Arial" w:hAnsi="Arial"/>
          <w:color w:val="000000"/>
          <w:sz w:val="20"/>
          <w:szCs w:val="20"/>
        </w:rPr>
        <w:t xml:space="preserve">The participant's breach of any representation, warranty, or obligation under these Terms</w:t>
      </w:r>
    </w:p>
    <w:p>
      <w:pPr>
        <w:pStyle w:val="ListParagraph"/>
        <w:numPr>
          <w:ilvl w:val="0"/>
          <w:numId w:val="2"/>
        </w:numPr>
        <w:spacing w:after="40" w:before="40"/>
      </w:pPr>
      <w:r>
        <w:rPr>
          <w:rFonts w:ascii="Arial" w:cs="Arial" w:eastAsia="Arial" w:hAnsi="Arial"/>
          <w:color w:val="000000"/>
          <w:sz w:val="20"/>
          <w:szCs w:val="20"/>
        </w:rPr>
        <w:t xml:space="preserve">The participant's negligence, wilful misconduct, or fraud</w:t>
      </w:r>
    </w:p>
    <w:p>
      <w:pPr>
        <w:pStyle w:val="ListParagraph"/>
        <w:numPr>
          <w:ilvl w:val="0"/>
          <w:numId w:val="2"/>
        </w:numPr>
        <w:spacing w:after="40" w:before="40"/>
      </w:pPr>
      <w:r>
        <w:rPr>
          <w:rFonts w:ascii="Arial" w:cs="Arial" w:eastAsia="Arial" w:hAnsi="Arial"/>
          <w:color w:val="000000"/>
          <w:sz w:val="20"/>
          <w:szCs w:val="20"/>
        </w:rPr>
        <w:t xml:space="preserve">Any defamatory, false, or misleading statements made by the participant about TDC or its leadership</w:t>
      </w:r>
    </w:p>
    <w:p>
      <w:pPr>
        <w:pStyle w:val="Heading1"/>
        <w:pBdr>
          <w:bottom w:val="single" w:color="1A3C6E" w:sz="6"/>
        </w:pBdr>
        <w:spacing w:after="200" w:before="480"/>
      </w:pPr>
      <w:r>
        <w:rPr>
          <w:rFonts w:ascii="Arial" w:cs="Arial" w:eastAsia="Arial" w:hAnsi="Arial"/>
          <w:b/>
          <w:bCs/>
          <w:color w:val="1A3C6E"/>
          <w:sz w:val="34"/>
          <w:szCs w:val="34"/>
        </w:rPr>
        <w:t xml:space="preserve">6. Force Majeure</w:t>
      </w:r>
    </w:p>
    <w:p>
      <w:pPr>
        <w:spacing w:after="80" w:before="80"/>
        <w:jc w:val="left"/>
      </w:pPr>
      <w:r>
        <w:rPr>
          <w:rFonts w:ascii="Arial" w:cs="Arial" w:eastAsia="Arial" w:hAnsi="Arial"/>
          <w:color w:val="000000"/>
          <w:sz w:val="20"/>
          <w:szCs w:val="20"/>
        </w:rPr>
        <w:t xml:space="preserve">TDC shall not be liable for any failure or delay in performance due to circumstances beyond its reasonable control, including but not limited to natural disasters, acts of government, pandemic, war, cyberattacks, infrastructure failure, or third-party service outages.</w:t>
      </w:r>
    </w:p>
    <w:p>
      <w:pPr>
        <w:pStyle w:val="Heading1"/>
        <w:pBdr>
          <w:bottom w:val="single" w:color="1A3C6E" w:sz="6"/>
        </w:pBdr>
        <w:spacing w:after="200" w:before="480"/>
      </w:pPr>
      <w:r>
        <w:rPr>
          <w:rFonts w:ascii="Arial" w:cs="Arial" w:eastAsia="Arial" w:hAnsi="Arial"/>
          <w:b/>
          <w:bCs/>
          <w:color w:val="1A3C6E"/>
          <w:sz w:val="34"/>
          <w:szCs w:val="34"/>
        </w:rPr>
        <w:t xml:space="preserve">7. Third-Party Services</w:t>
      </w:r>
    </w:p>
    <w:p>
      <w:pPr>
        <w:spacing w:after="80" w:before="80"/>
        <w:jc w:val="left"/>
      </w:pPr>
      <w:r>
        <w:rPr>
          <w:rFonts w:ascii="Arial" w:cs="Arial" w:eastAsia="Arial" w:hAnsi="Arial"/>
          <w:color w:val="000000"/>
          <w:sz w:val="20"/>
          <w:szCs w:val="20"/>
        </w:rPr>
        <w:t xml:space="preserve">TDC uses third-party hosting, payment, and communication services. TDC is not responsible for the acts, omissions, service interruptions, or data breaches of any third-party service provider. Participants use any integrated third-party service at their own risk.</w:t>
      </w:r>
    </w:p>
    <w:p>
      <w:r>
        <w:br w:type="page"/>
      </w:r>
    </w:p>
    <w:p>
      <w:pPr>
        <w:shd w:fill="0A1F44" w:val="clear"/>
        <w:spacing w:after="160" w:before="0"/>
        <w:jc w:val="center"/>
      </w:pPr>
      <w:r>
        <w:rPr>
          <w:rFonts w:ascii="Arial" w:cs="Arial" w:eastAsia="Arial" w:hAnsi="Arial"/>
          <w:b/>
          <w:bCs/>
          <w:color w:val="FFFFFF"/>
          <w:sz w:val="36"/>
          <w:szCs w:val="36"/>
        </w:rPr>
        <w:t xml:space="preserve">  DOCUMENT 10: PRIVACY POLICY  </w:t>
      </w:r>
    </w:p>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1. Data We Collect</w:t>
      </w:r>
    </w:p>
    <w:p>
      <w:pPr>
        <w:pStyle w:val="ListParagraph"/>
        <w:numPr>
          <w:ilvl w:val="0"/>
          <w:numId w:val="2"/>
        </w:numPr>
        <w:spacing w:after="40" w:before="40"/>
      </w:pPr>
      <w:r>
        <w:rPr>
          <w:rFonts w:ascii="Arial" w:cs="Arial" w:eastAsia="Arial" w:hAnsi="Arial"/>
          <w:color w:val="000000"/>
          <w:sz w:val="20"/>
          <w:szCs w:val="20"/>
        </w:rPr>
        <w:t xml:space="preserve">Full name, email, phone number, address</w:t>
      </w:r>
    </w:p>
    <w:p>
      <w:pPr>
        <w:pStyle w:val="ListParagraph"/>
        <w:numPr>
          <w:ilvl w:val="0"/>
          <w:numId w:val="2"/>
        </w:numPr>
        <w:spacing w:after="40" w:before="40"/>
      </w:pPr>
      <w:r>
        <w:rPr>
          <w:rFonts w:ascii="Arial" w:cs="Arial" w:eastAsia="Arial" w:hAnsi="Arial"/>
          <w:color w:val="000000"/>
          <w:sz w:val="20"/>
          <w:szCs w:val="20"/>
        </w:rPr>
        <w:t xml:space="preserve">Educational institution, degree, year of study</w:t>
      </w:r>
    </w:p>
    <w:p>
      <w:pPr>
        <w:pStyle w:val="ListParagraph"/>
        <w:numPr>
          <w:ilvl w:val="0"/>
          <w:numId w:val="2"/>
        </w:numPr>
        <w:spacing w:after="40" w:before="40"/>
      </w:pPr>
      <w:r>
        <w:rPr>
          <w:rFonts w:ascii="Arial" w:cs="Arial" w:eastAsia="Arial" w:hAnsi="Arial"/>
          <w:color w:val="000000"/>
          <w:sz w:val="20"/>
          <w:szCs w:val="20"/>
        </w:rPr>
        <w:t xml:space="preserve">GitHub, LinkedIn, portfolio links</w:t>
      </w:r>
    </w:p>
    <w:p>
      <w:pPr>
        <w:pStyle w:val="ListParagraph"/>
        <w:numPr>
          <w:ilvl w:val="0"/>
          <w:numId w:val="2"/>
        </w:numPr>
        <w:spacing w:after="40" w:before="40"/>
      </w:pPr>
      <w:r>
        <w:rPr>
          <w:rFonts w:ascii="Arial" w:cs="Arial" w:eastAsia="Arial" w:hAnsi="Arial"/>
          <w:color w:val="000000"/>
          <w:sz w:val="20"/>
          <w:szCs w:val="20"/>
        </w:rPr>
        <w:t xml:space="preserve">Project contributions, commit history, collaboration records</w:t>
      </w:r>
    </w:p>
    <w:p>
      <w:pPr>
        <w:pStyle w:val="ListParagraph"/>
        <w:numPr>
          <w:ilvl w:val="0"/>
          <w:numId w:val="2"/>
        </w:numPr>
        <w:spacing w:after="40" w:before="40"/>
      </w:pPr>
      <w:r>
        <w:rPr>
          <w:rFonts w:ascii="Arial" w:cs="Arial" w:eastAsia="Arial" w:hAnsi="Arial"/>
          <w:color w:val="000000"/>
          <w:sz w:val="20"/>
          <w:szCs w:val="20"/>
        </w:rPr>
        <w:t xml:space="preserve">Profile photograph (for product credits, with explicit consent)</w:t>
      </w:r>
    </w:p>
    <w:p>
      <w:pPr>
        <w:pStyle w:val="ListParagraph"/>
        <w:numPr>
          <w:ilvl w:val="0"/>
          <w:numId w:val="2"/>
        </w:numPr>
        <w:spacing w:after="40" w:before="40"/>
      </w:pPr>
      <w:r>
        <w:rPr>
          <w:rFonts w:ascii="Arial" w:cs="Arial" w:eastAsia="Arial" w:hAnsi="Arial"/>
          <w:color w:val="000000"/>
          <w:sz w:val="20"/>
          <w:szCs w:val="20"/>
        </w:rPr>
        <w:t xml:space="preserve">Payment records for participation fees</w:t>
      </w:r>
    </w:p>
    <w:p>
      <w:pPr>
        <w:pStyle w:val="ListParagraph"/>
        <w:numPr>
          <w:ilvl w:val="0"/>
          <w:numId w:val="2"/>
        </w:numPr>
        <w:spacing w:after="40" w:before="40"/>
      </w:pPr>
      <w:r>
        <w:rPr>
          <w:rFonts w:ascii="Arial" w:cs="Arial" w:eastAsia="Arial" w:hAnsi="Arial"/>
          <w:color w:val="000000"/>
          <w:sz w:val="20"/>
          <w:szCs w:val="20"/>
        </w:rPr>
        <w:t xml:space="preserve">Communication records within TDC channels</w:t>
      </w:r>
    </w:p>
    <w:p>
      <w:pPr>
        <w:pStyle w:val="ListParagraph"/>
        <w:numPr>
          <w:ilvl w:val="0"/>
          <w:numId w:val="2"/>
        </w:numPr>
        <w:spacing w:after="40" w:before="40"/>
      </w:pPr>
      <w:r>
        <w:rPr>
          <w:rFonts w:ascii="Arial" w:cs="Arial" w:eastAsia="Arial" w:hAnsi="Arial"/>
          <w:color w:val="000000"/>
          <w:sz w:val="20"/>
          <w:szCs w:val="20"/>
        </w:rPr>
        <w:t xml:space="preserve">Device information, IP address, usage analytics</w:t>
      </w:r>
    </w:p>
    <w:p>
      <w:pPr>
        <w:pStyle w:val="Heading1"/>
        <w:pBdr>
          <w:bottom w:val="single" w:color="1A3C6E" w:sz="6"/>
        </w:pBdr>
        <w:spacing w:after="200" w:before="480"/>
      </w:pPr>
      <w:r>
        <w:rPr>
          <w:rFonts w:ascii="Arial" w:cs="Arial" w:eastAsia="Arial" w:hAnsi="Arial"/>
          <w:b/>
          <w:bCs/>
          <w:color w:val="1A3C6E"/>
          <w:sz w:val="34"/>
          <w:szCs w:val="34"/>
        </w:rPr>
        <w:t xml:space="preserve">2. How We Use Data</w:t>
      </w:r>
    </w:p>
    <w:p>
      <w:pPr>
        <w:pStyle w:val="ListParagraph"/>
        <w:numPr>
          <w:ilvl w:val="0"/>
          <w:numId w:val="2"/>
        </w:numPr>
        <w:spacing w:after="40" w:before="40"/>
      </w:pPr>
      <w:r>
        <w:rPr>
          <w:rFonts w:ascii="Arial" w:cs="Arial" w:eastAsia="Arial" w:hAnsi="Arial"/>
          <w:color w:val="000000"/>
          <w:sz w:val="20"/>
          <w:szCs w:val="20"/>
        </w:rPr>
        <w:t xml:space="preserve">Administering your participation and role assignments</w:t>
      </w:r>
    </w:p>
    <w:p>
      <w:pPr>
        <w:pStyle w:val="ListParagraph"/>
        <w:numPr>
          <w:ilvl w:val="0"/>
          <w:numId w:val="2"/>
        </w:numPr>
        <w:spacing w:after="40" w:before="40"/>
      </w:pPr>
      <w:r>
        <w:rPr>
          <w:rFonts w:ascii="Arial" w:cs="Arial" w:eastAsia="Arial" w:hAnsi="Arial"/>
          <w:color w:val="000000"/>
          <w:sz w:val="20"/>
          <w:szCs w:val="20"/>
        </w:rPr>
        <w:t xml:space="preserve">Issuing completion letters and official documentation</w:t>
      </w:r>
    </w:p>
    <w:p>
      <w:pPr>
        <w:pStyle w:val="ListParagraph"/>
        <w:numPr>
          <w:ilvl w:val="0"/>
          <w:numId w:val="2"/>
        </w:numPr>
        <w:spacing w:after="40" w:before="40"/>
      </w:pPr>
      <w:r>
        <w:rPr>
          <w:rFonts w:ascii="Arial" w:cs="Arial" w:eastAsia="Arial" w:hAnsi="Arial"/>
          <w:color w:val="000000"/>
          <w:sz w:val="20"/>
          <w:szCs w:val="20"/>
        </w:rPr>
        <w:t xml:space="preserve">Processing participation fees and financial distributions</w:t>
      </w:r>
    </w:p>
    <w:p>
      <w:pPr>
        <w:pStyle w:val="ListParagraph"/>
        <w:numPr>
          <w:ilvl w:val="0"/>
          <w:numId w:val="2"/>
        </w:numPr>
        <w:spacing w:after="40" w:before="40"/>
      </w:pPr>
      <w:r>
        <w:rPr>
          <w:rFonts w:ascii="Arial" w:cs="Arial" w:eastAsia="Arial" w:hAnsi="Arial"/>
          <w:color w:val="000000"/>
          <w:sz w:val="20"/>
          <w:szCs w:val="20"/>
        </w:rPr>
        <w:t xml:space="preserve">Featuring your name and photo on shipped products (with consent)</w:t>
      </w:r>
    </w:p>
    <w:p>
      <w:pPr>
        <w:pStyle w:val="ListParagraph"/>
        <w:numPr>
          <w:ilvl w:val="0"/>
          <w:numId w:val="2"/>
        </w:numPr>
        <w:spacing w:after="40" w:before="40"/>
      </w:pPr>
      <w:r>
        <w:rPr>
          <w:rFonts w:ascii="Arial" w:cs="Arial" w:eastAsia="Arial" w:hAnsi="Arial"/>
          <w:color w:val="000000"/>
          <w:sz w:val="20"/>
          <w:szCs w:val="20"/>
        </w:rPr>
        <w:t xml:space="preserve">Communicating project updates and community announcements</w:t>
      </w:r>
    </w:p>
    <w:p>
      <w:pPr>
        <w:pStyle w:val="ListParagraph"/>
        <w:numPr>
          <w:ilvl w:val="0"/>
          <w:numId w:val="2"/>
        </w:numPr>
        <w:spacing w:after="40" w:before="40"/>
      </w:pPr>
      <w:r>
        <w:rPr>
          <w:rFonts w:ascii="Arial" w:cs="Arial" w:eastAsia="Arial" w:hAnsi="Arial"/>
          <w:color w:val="000000"/>
          <w:sz w:val="20"/>
          <w:szCs w:val="20"/>
        </w:rPr>
        <w:t xml:space="preserve">Monitoring and enforcing compliance with this document package</w:t>
      </w:r>
    </w:p>
    <w:p>
      <w:pPr>
        <w:pStyle w:val="ListParagraph"/>
        <w:numPr>
          <w:ilvl w:val="0"/>
          <w:numId w:val="2"/>
        </w:numPr>
        <w:spacing w:after="40" w:before="40"/>
      </w:pPr>
      <w:r>
        <w:rPr>
          <w:rFonts w:ascii="Arial" w:cs="Arial" w:eastAsia="Arial" w:hAnsi="Arial"/>
          <w:color w:val="000000"/>
          <w:sz w:val="20"/>
          <w:szCs w:val="20"/>
        </w:rPr>
        <w:t xml:space="preserve">Marketing and promotional use — only with prior explicit written consent</w:t>
      </w:r>
    </w:p>
    <w:p>
      <w:pPr>
        <w:pStyle w:val="Heading1"/>
        <w:pBdr>
          <w:bottom w:val="single" w:color="1A3C6E" w:sz="6"/>
        </w:pBdr>
        <w:spacing w:after="200" w:before="480"/>
      </w:pPr>
      <w:r>
        <w:rPr>
          <w:rFonts w:ascii="Arial" w:cs="Arial" w:eastAsia="Arial" w:hAnsi="Arial"/>
          <w:b/>
          <w:bCs/>
          <w:color w:val="1A3C6E"/>
          <w:sz w:val="34"/>
          <w:szCs w:val="34"/>
        </w:rPr>
        <w:t xml:space="preserve">3. Data Sharing</w:t>
      </w:r>
    </w:p>
    <w:p>
      <w:pPr>
        <w:spacing w:after="80" w:before="80"/>
        <w:jc w:val="left"/>
      </w:pPr>
      <w:r>
        <w:rPr>
          <w:rFonts w:ascii="Arial" w:cs="Arial" w:eastAsia="Arial" w:hAnsi="Arial"/>
          <w:color w:val="000000"/>
          <w:sz w:val="20"/>
          <w:szCs w:val="20"/>
        </w:rPr>
        <w:t xml:space="preserve">TDC does not sell personal data. Data may be shared with: (a) advisory board members for mentorship purposes; (b) payment processors for fee transactions; (c) hosting and infrastructure providers; (d) legal and compliance advisors; (e) law enforcement or regulatory authorities when legally required.</w:t>
      </w:r>
    </w:p>
    <w:p>
      <w:pPr>
        <w:pStyle w:val="Heading1"/>
        <w:pBdr>
          <w:bottom w:val="single" w:color="1A3C6E" w:sz="6"/>
        </w:pBdr>
        <w:spacing w:after="200" w:before="480"/>
      </w:pPr>
      <w:r>
        <w:rPr>
          <w:rFonts w:ascii="Arial" w:cs="Arial" w:eastAsia="Arial" w:hAnsi="Arial"/>
          <w:b/>
          <w:bCs/>
          <w:color w:val="1A3C6E"/>
          <w:sz w:val="34"/>
          <w:szCs w:val="34"/>
        </w:rPr>
        <w:t xml:space="preserve">4. Data Retention</w:t>
      </w:r>
    </w:p>
    <w:p>
      <w:pPr>
        <w:spacing w:after="80" w:before="80"/>
        <w:jc w:val="left"/>
      </w:pPr>
      <w:r>
        <w:rPr>
          <w:rFonts w:ascii="Arial" w:cs="Arial" w:eastAsia="Arial" w:hAnsi="Arial"/>
          <w:color w:val="000000"/>
          <w:sz w:val="20"/>
          <w:szCs w:val="20"/>
        </w:rPr>
        <w:t xml:space="preserve">Data is retained for the duration of participation and 5 years thereafter for compliance, audit, and IP enforcement purposes. Some data (IP assignment records, Confidential Information records) is retained indefinitely.</w:t>
      </w:r>
    </w:p>
    <w:p>
      <w:pPr>
        <w:pStyle w:val="Heading1"/>
        <w:pBdr>
          <w:bottom w:val="single" w:color="1A3C6E" w:sz="6"/>
        </w:pBdr>
        <w:spacing w:after="200" w:before="480"/>
      </w:pPr>
      <w:r>
        <w:rPr>
          <w:rFonts w:ascii="Arial" w:cs="Arial" w:eastAsia="Arial" w:hAnsi="Arial"/>
          <w:b/>
          <w:bCs/>
          <w:color w:val="1A3C6E"/>
          <w:sz w:val="34"/>
          <w:szCs w:val="34"/>
        </w:rPr>
        <w:t xml:space="preserve">5. Your Rights</w:t>
      </w:r>
    </w:p>
    <w:p>
      <w:pPr>
        <w:spacing w:after="80" w:before="80"/>
        <w:jc w:val="left"/>
      </w:pPr>
      <w:r>
        <w:rPr>
          <w:rFonts w:ascii="Arial" w:cs="Arial" w:eastAsia="Arial" w:hAnsi="Arial"/>
          <w:color w:val="000000"/>
          <w:sz w:val="20"/>
          <w:szCs w:val="20"/>
        </w:rPr>
        <w:t xml:space="preserve">Subject to applicable law and TDC's overriding legitimate interests (including IP enforcement and legal compliance), participants may request access to, correction of, or deletion of their personal data by written request to TDC leadership.</w:t>
      </w:r>
    </w:p>
    <w:p>
      <w:pPr>
        <w:pStyle w:val="Heading1"/>
        <w:pBdr>
          <w:bottom w:val="single" w:color="1A3C6E" w:sz="6"/>
        </w:pBdr>
        <w:spacing w:after="200" w:before="480"/>
      </w:pPr>
      <w:r>
        <w:rPr>
          <w:rFonts w:ascii="Arial" w:cs="Arial" w:eastAsia="Arial" w:hAnsi="Arial"/>
          <w:b/>
          <w:bCs/>
          <w:color w:val="1A3C6E"/>
          <w:sz w:val="34"/>
          <w:szCs w:val="34"/>
        </w:rPr>
        <w:t xml:space="preserve">6. Security</w:t>
      </w:r>
    </w:p>
    <w:p>
      <w:pPr>
        <w:spacing w:after="80" w:before="80"/>
        <w:jc w:val="left"/>
      </w:pPr>
      <w:r>
        <w:rPr>
          <w:rFonts w:ascii="Arial" w:cs="Arial" w:eastAsia="Arial" w:hAnsi="Arial"/>
          <w:color w:val="000000"/>
          <w:sz w:val="20"/>
          <w:szCs w:val="20"/>
        </w:rPr>
        <w:t xml:space="preserve">TDC implements commercially reasonable security measures. No system is completely secure. TDC is not liable for data breaches caused by third-party attacks, participant error, or force majeure events.</w:t>
      </w:r>
    </w:p>
    <w:p>
      <w:r>
        <w:br w:type="page"/>
      </w:r>
    </w:p>
    <w:p>
      <w:pPr>
        <w:shd w:fill="0A1F44" w:val="clear"/>
        <w:spacing w:after="160" w:before="0"/>
        <w:jc w:val="center"/>
      </w:pPr>
      <w:r>
        <w:rPr>
          <w:rFonts w:ascii="Arial" w:cs="Arial" w:eastAsia="Arial" w:hAnsi="Arial"/>
          <w:b/>
          <w:bCs/>
          <w:color w:val="FFFFFF"/>
          <w:sz w:val="36"/>
          <w:szCs w:val="36"/>
        </w:rPr>
        <w:t xml:space="preserve">  DOCUMENT 11: ADVISORY BOARD TERMS OF ENGAGEMENT  </w:t>
      </w:r>
    </w:p>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1. Role</w:t>
      </w:r>
    </w:p>
    <w:p>
      <w:pPr>
        <w:spacing w:after="80" w:before="80"/>
        <w:jc w:val="left"/>
      </w:pPr>
      <w:r>
        <w:rPr>
          <w:rFonts w:ascii="Arial" w:cs="Arial" w:eastAsia="Arial" w:hAnsi="Arial"/>
          <w:color w:val="000000"/>
          <w:sz w:val="20"/>
          <w:szCs w:val="20"/>
        </w:rPr>
        <w:t xml:space="preserve">Advisory Board members are senior engineers or industry professionals providing voluntary mentorship and guidance. They are not employees, partners, officers, or equity holders. They hold NO decision-making authority over TDC, its products, or its participants.</w:t>
      </w:r>
    </w:p>
    <w:p>
      <w:pPr>
        <w:pStyle w:val="Heading1"/>
        <w:pBdr>
          <w:bottom w:val="single" w:color="1A3C6E" w:sz="6"/>
        </w:pBdr>
        <w:spacing w:after="200" w:before="480"/>
      </w:pPr>
      <w:r>
        <w:rPr>
          <w:rFonts w:ascii="Arial" w:cs="Arial" w:eastAsia="Arial" w:hAnsi="Arial"/>
          <w:b/>
          <w:bCs/>
          <w:color w:val="1A3C6E"/>
          <w:sz w:val="34"/>
          <w:szCs w:val="34"/>
        </w:rPr>
        <w:t xml:space="preserve">2. Confidentiality</w:t>
      </w:r>
    </w:p>
    <w:p>
      <w:pPr>
        <w:spacing w:after="80" w:before="80"/>
        <w:jc w:val="left"/>
      </w:pPr>
      <w:r>
        <w:rPr>
          <w:rFonts w:ascii="Arial" w:cs="Arial" w:eastAsia="Arial" w:hAnsi="Arial"/>
          <w:color w:val="000000"/>
          <w:sz w:val="20"/>
          <w:szCs w:val="20"/>
        </w:rPr>
        <w:t xml:space="preserve">Advisory Board members are bound by the same Confidentiality Agreement as all participants (Document 6) during their engagement and for 5 years thereafter.</w:t>
      </w:r>
    </w:p>
    <w:p>
      <w:pPr>
        <w:pStyle w:val="Heading1"/>
        <w:pBdr>
          <w:bottom w:val="single" w:color="1A3C6E" w:sz="6"/>
        </w:pBdr>
        <w:spacing w:after="200" w:before="480"/>
      </w:pPr>
      <w:r>
        <w:rPr>
          <w:rFonts w:ascii="Arial" w:cs="Arial" w:eastAsia="Arial" w:hAnsi="Arial"/>
          <w:b/>
          <w:bCs/>
          <w:color w:val="1A3C6E"/>
          <w:sz w:val="34"/>
          <w:szCs w:val="34"/>
        </w:rPr>
        <w:t xml:space="preserve">3. IP</w:t>
      </w:r>
    </w:p>
    <w:p>
      <w:pPr>
        <w:spacing w:after="80" w:before="80"/>
        <w:jc w:val="left"/>
      </w:pPr>
      <w:r>
        <w:rPr>
          <w:rFonts w:ascii="Arial" w:cs="Arial" w:eastAsia="Arial" w:hAnsi="Arial"/>
          <w:color w:val="000000"/>
          <w:sz w:val="20"/>
          <w:szCs w:val="20"/>
        </w:rPr>
        <w:t xml:space="preserve">Any specific work product, code, design, or technical contribution made by an Advisory Board member is automatically assigned to TDC under the same IP Assignment terms (Document 4) unless a separate written agreement explicitly provides otherwise and is approved by the Supreme Authority.</w:t>
      </w:r>
    </w:p>
    <w:p>
      <w:pPr>
        <w:pStyle w:val="Heading1"/>
        <w:pBdr>
          <w:bottom w:val="single" w:color="1A3C6E" w:sz="6"/>
        </w:pBdr>
        <w:spacing w:after="200" w:before="480"/>
      </w:pPr>
      <w:r>
        <w:rPr>
          <w:rFonts w:ascii="Arial" w:cs="Arial" w:eastAsia="Arial" w:hAnsi="Arial"/>
          <w:b/>
          <w:bCs/>
          <w:color w:val="1A3C6E"/>
          <w:sz w:val="34"/>
          <w:szCs w:val="34"/>
        </w:rPr>
        <w:t xml:space="preserve">4. Authority Boundary</w:t>
      </w:r>
    </w:p>
    <w:p>
      <w:pPr>
        <w:spacing w:after="80" w:before="80"/>
        <w:jc w:val="left"/>
      </w:pPr>
      <w:r>
        <w:rPr>
          <w:rFonts w:ascii="Arial" w:cs="Arial" w:eastAsia="Arial" w:hAnsi="Arial"/>
          <w:color w:val="000000"/>
          <w:sz w:val="20"/>
          <w:szCs w:val="20"/>
        </w:rPr>
        <w:t xml:space="preserve">Advisory Board members may not take any action that falls within the Mandatory Approval categories (Document 2, Section 3). Doing so constitutes an Unauthorised Action subject to Document 3 penalties. Advisory Board members may not represent themselves as officers or agents of TDC in any context.</w:t>
      </w:r>
    </w:p>
    <w:p>
      <w:pPr>
        <w:pStyle w:val="Heading1"/>
        <w:pBdr>
          <w:bottom w:val="single" w:color="1A3C6E" w:sz="6"/>
        </w:pBdr>
        <w:spacing w:after="200" w:before="480"/>
      </w:pPr>
      <w:r>
        <w:rPr>
          <w:rFonts w:ascii="Arial" w:cs="Arial" w:eastAsia="Arial" w:hAnsi="Arial"/>
          <w:b/>
          <w:bCs/>
          <w:color w:val="1A3C6E"/>
          <w:sz w:val="34"/>
          <w:szCs w:val="34"/>
        </w:rPr>
        <w:t xml:space="preserve">5. Liability</w:t>
      </w:r>
    </w:p>
    <w:p>
      <w:pPr>
        <w:spacing w:after="80" w:before="80"/>
        <w:jc w:val="left"/>
      </w:pPr>
      <w:r>
        <w:rPr>
          <w:rFonts w:ascii="Arial" w:cs="Arial" w:eastAsia="Arial" w:hAnsi="Arial"/>
          <w:color w:val="000000"/>
          <w:sz w:val="20"/>
          <w:szCs w:val="20"/>
        </w:rPr>
        <w:t xml:space="preserve">Advisory Board members provide guidance in good faith and are not liable for the commercial, technical, or legal outcomes of projects they advise, provided their guidance did not involve fraud, wilful misconduct, or gross negligence.</w:t>
      </w:r>
    </w:p>
    <w:p>
      <w:r>
        <w:br w:type="page"/>
      </w:r>
    </w:p>
    <w:p>
      <w:pPr>
        <w:shd w:fill="0A1F44" w:val="clear"/>
        <w:spacing w:after="160" w:before="0"/>
        <w:jc w:val="center"/>
      </w:pPr>
      <w:r>
        <w:rPr>
          <w:rFonts w:ascii="Arial" w:cs="Arial" w:eastAsia="Arial" w:hAnsi="Arial"/>
          <w:b/>
          <w:bCs/>
          <w:color w:val="FFFFFF"/>
          <w:sz w:val="36"/>
          <w:szCs w:val="36"/>
        </w:rPr>
        <w:t xml:space="preserve">  DOCUMENT 12: PLATFORM ACCEPTABLE USE POLICY  </w:t>
      </w:r>
    </w:p>
    <w:p>
      <w:pPr>
        <w:spacing w:after="60" w:before="60"/>
      </w:pPr>
      <w:r>
        <w:t xml:space="preserve"/>
      </w:r>
    </w:p>
    <w:p>
      <w:pPr>
        <w:pStyle w:val="Heading1"/>
        <w:pBdr>
          <w:bottom w:val="single" w:color="1A3C6E" w:sz="6"/>
        </w:pBdr>
        <w:spacing w:after="200" w:before="480"/>
      </w:pPr>
      <w:r>
        <w:rPr>
          <w:rFonts w:ascii="Arial" w:cs="Arial" w:eastAsia="Arial" w:hAnsi="Arial"/>
          <w:b/>
          <w:bCs/>
          <w:color w:val="1A3C6E"/>
          <w:sz w:val="34"/>
          <w:szCs w:val="34"/>
        </w:rPr>
        <w:t xml:space="preserve">1. Permitted Uses</w:t>
      </w:r>
    </w:p>
    <w:p>
      <w:pPr>
        <w:pStyle w:val="ListParagraph"/>
        <w:numPr>
          <w:ilvl w:val="0"/>
          <w:numId w:val="2"/>
        </w:numPr>
        <w:spacing w:after="40" w:before="40"/>
      </w:pPr>
      <w:r>
        <w:rPr>
          <w:rFonts w:ascii="Arial" w:cs="Arial" w:eastAsia="Arial" w:hAnsi="Arial"/>
          <w:color w:val="000000"/>
          <w:sz w:val="20"/>
          <w:szCs w:val="20"/>
        </w:rPr>
        <w:t xml:space="preserve">Accessing TDC's platform and tools for assigned project work</w:t>
      </w:r>
    </w:p>
    <w:p>
      <w:pPr>
        <w:pStyle w:val="ListParagraph"/>
        <w:numPr>
          <w:ilvl w:val="0"/>
          <w:numId w:val="2"/>
        </w:numPr>
        <w:spacing w:after="40" w:before="40"/>
      </w:pPr>
      <w:r>
        <w:rPr>
          <w:rFonts w:ascii="Arial" w:cs="Arial" w:eastAsia="Arial" w:hAnsi="Arial"/>
          <w:color w:val="000000"/>
          <w:sz w:val="20"/>
          <w:szCs w:val="20"/>
        </w:rPr>
        <w:t xml:space="preserve">Communicating with team members through TDC-approved channels</w:t>
      </w:r>
    </w:p>
    <w:p>
      <w:pPr>
        <w:pStyle w:val="ListParagraph"/>
        <w:numPr>
          <w:ilvl w:val="0"/>
          <w:numId w:val="2"/>
        </w:numPr>
        <w:spacing w:after="40" w:before="40"/>
      </w:pPr>
      <w:r>
        <w:rPr>
          <w:rFonts w:ascii="Arial" w:cs="Arial" w:eastAsia="Arial" w:hAnsi="Arial"/>
          <w:color w:val="000000"/>
          <w:sz w:val="20"/>
          <w:szCs w:val="20"/>
        </w:rPr>
        <w:t xml:space="preserve">Contributing code, designs, and documentation within assigned project scope</w:t>
      </w:r>
    </w:p>
    <w:p>
      <w:pPr>
        <w:pStyle w:val="ListParagraph"/>
        <w:numPr>
          <w:ilvl w:val="0"/>
          <w:numId w:val="2"/>
        </w:numPr>
        <w:spacing w:after="40" w:before="40"/>
      </w:pPr>
      <w:r>
        <w:rPr>
          <w:rFonts w:ascii="Arial" w:cs="Arial" w:eastAsia="Arial" w:hAnsi="Arial"/>
          <w:color w:val="000000"/>
          <w:sz w:val="20"/>
          <w:szCs w:val="20"/>
        </w:rPr>
        <w:t xml:space="preserve">Reviewing platform updates and community communications</w:t>
      </w:r>
    </w:p>
    <w:p>
      <w:pPr>
        <w:pStyle w:val="Heading1"/>
        <w:pBdr>
          <w:bottom w:val="single" w:color="1A3C6E" w:sz="6"/>
        </w:pBdr>
        <w:spacing w:after="200" w:before="480"/>
      </w:pPr>
      <w:r>
        <w:rPr>
          <w:rFonts w:ascii="Arial" w:cs="Arial" w:eastAsia="Arial" w:hAnsi="Arial"/>
          <w:b/>
          <w:bCs/>
          <w:color w:val="1A3C6E"/>
          <w:sz w:val="34"/>
          <w:szCs w:val="34"/>
        </w:rPr>
        <w:t xml:space="preserve">2. Prohibited Uses — Platform and Systems</w:t>
      </w:r>
    </w:p>
    <w:p>
      <w:pPr>
        <w:pStyle w:val="ListParagraph"/>
        <w:numPr>
          <w:ilvl w:val="0"/>
          <w:numId w:val="2"/>
        </w:numPr>
        <w:spacing w:after="40" w:before="40"/>
      </w:pPr>
      <w:r>
        <w:rPr>
          <w:rFonts w:ascii="Arial" w:cs="Arial" w:eastAsia="Arial" w:hAnsi="Arial"/>
          <w:color w:val="000000"/>
          <w:sz w:val="20"/>
          <w:szCs w:val="20"/>
        </w:rPr>
        <w:t xml:space="preserve">Attempting to gain unauthorised access to any TDC system, database, or codebase outside your assigned scope</w:t>
      </w:r>
    </w:p>
    <w:p>
      <w:pPr>
        <w:pStyle w:val="ListParagraph"/>
        <w:numPr>
          <w:ilvl w:val="0"/>
          <w:numId w:val="2"/>
        </w:numPr>
        <w:spacing w:after="40" w:before="40"/>
      </w:pPr>
      <w:r>
        <w:rPr>
          <w:rFonts w:ascii="Arial" w:cs="Arial" w:eastAsia="Arial" w:hAnsi="Arial"/>
          <w:color w:val="000000"/>
          <w:sz w:val="20"/>
          <w:szCs w:val="20"/>
        </w:rPr>
        <w:t xml:space="preserve">Using TDC systems to send spam, malicious code, or unsolicited communications</w:t>
      </w:r>
    </w:p>
    <w:p>
      <w:pPr>
        <w:pStyle w:val="ListParagraph"/>
        <w:numPr>
          <w:ilvl w:val="0"/>
          <w:numId w:val="2"/>
        </w:numPr>
        <w:spacing w:after="40" w:before="40"/>
      </w:pPr>
      <w:r>
        <w:rPr>
          <w:rFonts w:ascii="Arial" w:cs="Arial" w:eastAsia="Arial" w:hAnsi="Arial"/>
          <w:color w:val="000000"/>
          <w:sz w:val="20"/>
          <w:szCs w:val="20"/>
        </w:rPr>
        <w:t xml:space="preserve">Scraping, copying, or exporting any TDC data, codebase, or content for personal or external use</w:t>
      </w:r>
    </w:p>
    <w:p>
      <w:pPr>
        <w:pStyle w:val="ListParagraph"/>
        <w:numPr>
          <w:ilvl w:val="0"/>
          <w:numId w:val="2"/>
        </w:numPr>
        <w:spacing w:after="40" w:before="40"/>
      </w:pPr>
      <w:r>
        <w:rPr>
          <w:rFonts w:ascii="Arial" w:cs="Arial" w:eastAsia="Arial" w:hAnsi="Arial"/>
          <w:color w:val="000000"/>
          <w:sz w:val="20"/>
          <w:szCs w:val="20"/>
        </w:rPr>
        <w:t xml:space="preserve">Introducing malware, viruses, or deliberately harmful code into any TDC system</w:t>
      </w:r>
    </w:p>
    <w:p>
      <w:pPr>
        <w:pStyle w:val="ListParagraph"/>
        <w:numPr>
          <w:ilvl w:val="0"/>
          <w:numId w:val="2"/>
        </w:numPr>
        <w:spacing w:after="40" w:before="40"/>
      </w:pPr>
      <w:r>
        <w:rPr>
          <w:rFonts w:ascii="Arial" w:cs="Arial" w:eastAsia="Arial" w:hAnsi="Arial"/>
          <w:color w:val="000000"/>
          <w:sz w:val="20"/>
          <w:szCs w:val="20"/>
        </w:rPr>
        <w:t xml:space="preserve">Attempting to reverse-engineer, decompile, or extract the source code of any TDC product</w:t>
      </w:r>
    </w:p>
    <w:p>
      <w:pPr>
        <w:pStyle w:val="ListParagraph"/>
        <w:numPr>
          <w:ilvl w:val="0"/>
          <w:numId w:val="2"/>
        </w:numPr>
        <w:spacing w:after="40" w:before="40"/>
      </w:pPr>
      <w:r>
        <w:rPr>
          <w:rFonts w:ascii="Arial" w:cs="Arial" w:eastAsia="Arial" w:hAnsi="Arial"/>
          <w:color w:val="000000"/>
          <w:sz w:val="20"/>
          <w:szCs w:val="20"/>
        </w:rPr>
        <w:t xml:space="preserve">Using TDC systems for any unlawful purpose</w:t>
      </w:r>
    </w:p>
    <w:p>
      <w:pPr>
        <w:pStyle w:val="Heading1"/>
        <w:pBdr>
          <w:bottom w:val="single" w:color="1A3C6E" w:sz="6"/>
        </w:pBdr>
        <w:spacing w:after="200" w:before="480"/>
      </w:pPr>
      <w:r>
        <w:rPr>
          <w:rFonts w:ascii="Arial" w:cs="Arial" w:eastAsia="Arial" w:hAnsi="Arial"/>
          <w:b/>
          <w:bCs/>
          <w:color w:val="1A3C6E"/>
          <w:sz w:val="34"/>
          <w:szCs w:val="34"/>
        </w:rPr>
        <w:t xml:space="preserve">3. Prohibited Uses — External Representation</w:t>
      </w:r>
    </w:p>
    <w:p>
      <w:pPr>
        <w:pStyle w:val="ListParagraph"/>
        <w:numPr>
          <w:ilvl w:val="0"/>
          <w:numId w:val="2"/>
        </w:numPr>
        <w:spacing w:after="40" w:before="40"/>
      </w:pPr>
      <w:r>
        <w:rPr>
          <w:rFonts w:ascii="Arial" w:cs="Arial" w:eastAsia="Arial" w:hAnsi="Arial"/>
          <w:color w:val="000000"/>
          <w:sz w:val="20"/>
          <w:szCs w:val="20"/>
        </w:rPr>
        <w:t xml:space="preserve">Using TDC's name, logo, branding, or trademarks in any external communication without written approval</w:t>
      </w:r>
    </w:p>
    <w:p>
      <w:pPr>
        <w:pStyle w:val="ListParagraph"/>
        <w:numPr>
          <w:ilvl w:val="0"/>
          <w:numId w:val="2"/>
        </w:numPr>
        <w:spacing w:after="40" w:before="40"/>
      </w:pPr>
      <w:r>
        <w:rPr>
          <w:rFonts w:ascii="Arial" w:cs="Arial" w:eastAsia="Arial" w:hAnsi="Arial"/>
          <w:color w:val="000000"/>
          <w:sz w:val="20"/>
          <w:szCs w:val="20"/>
        </w:rPr>
        <w:t xml:space="preserve">Representing TDC in any public forum, media interview, or social media post without written approval</w:t>
      </w:r>
    </w:p>
    <w:p>
      <w:pPr>
        <w:pStyle w:val="ListParagraph"/>
        <w:numPr>
          <w:ilvl w:val="0"/>
          <w:numId w:val="2"/>
        </w:numPr>
        <w:spacing w:after="40" w:before="40"/>
      </w:pPr>
      <w:r>
        <w:rPr>
          <w:rFonts w:ascii="Arial" w:cs="Arial" w:eastAsia="Arial" w:hAnsi="Arial"/>
          <w:color w:val="000000"/>
          <w:sz w:val="20"/>
          <w:szCs w:val="20"/>
        </w:rPr>
        <w:t xml:space="preserve">Applying for funding, competitions, grants, or accelerators using TDC's name or products without written approval</w:t>
      </w:r>
    </w:p>
    <w:p>
      <w:pPr>
        <w:pStyle w:val="Heading1"/>
        <w:pBdr>
          <w:bottom w:val="single" w:color="1A3C6E" w:sz="6"/>
        </w:pBdr>
        <w:spacing w:after="200" w:before="480"/>
      </w:pPr>
      <w:r>
        <w:rPr>
          <w:rFonts w:ascii="Arial" w:cs="Arial" w:eastAsia="Arial" w:hAnsi="Arial"/>
          <w:b/>
          <w:bCs/>
          <w:color w:val="1A3C6E"/>
          <w:sz w:val="34"/>
          <w:szCs w:val="34"/>
        </w:rPr>
        <w:t xml:space="preserve">4. Monitoring</w:t>
      </w:r>
    </w:p>
    <w:p>
      <w:pPr>
        <w:spacing w:after="80" w:before="80"/>
        <w:jc w:val="left"/>
      </w:pPr>
      <w:r>
        <w:rPr>
          <w:rFonts w:ascii="Arial" w:cs="Arial" w:eastAsia="Arial" w:hAnsi="Arial"/>
          <w:color w:val="000000"/>
          <w:sz w:val="20"/>
          <w:szCs w:val="20"/>
        </w:rPr>
        <w:t xml:space="preserve">TDC reserves the right to monitor all activity on its platforms, tools, communication channels, and systems for security, compliance, and operational purposes. By using TDC systems, participants consent to such monitoring.</w:t>
      </w:r>
    </w:p>
    <w:p>
      <w:pPr>
        <w:pStyle w:val="Heading1"/>
        <w:pBdr>
          <w:bottom w:val="single" w:color="1A3C6E" w:sz="6"/>
        </w:pBdr>
        <w:spacing w:after="200" w:before="480"/>
      </w:pPr>
      <w:r>
        <w:rPr>
          <w:rFonts w:ascii="Arial" w:cs="Arial" w:eastAsia="Arial" w:hAnsi="Arial"/>
          <w:b/>
          <w:bCs/>
          <w:color w:val="1A3C6E"/>
          <w:sz w:val="34"/>
          <w:szCs w:val="34"/>
        </w:rPr>
        <w:t xml:space="preserve">5. Enforcement</w:t>
      </w:r>
    </w:p>
    <w:p>
      <w:pPr>
        <w:spacing w:after="80" w:before="80"/>
        <w:jc w:val="left"/>
      </w:pPr>
      <w:r>
        <w:rPr>
          <w:rFonts w:ascii="Arial" w:cs="Arial" w:eastAsia="Arial" w:hAnsi="Arial"/>
          <w:color w:val="000000"/>
          <w:sz w:val="20"/>
          <w:szCs w:val="20"/>
        </w:rPr>
        <w:t xml:space="preserve">Violations of this Acceptable Use Policy are treated as Unauthorised Actions under Document 3 and are subject to the corresponding penalty structure.</w:t>
      </w:r>
    </w:p>
    <w:p>
      <w:r>
        <w:br w:type="page"/>
      </w:r>
    </w:p>
    <w:p>
      <w:pPr>
        <w:shd w:fill="0A1F44" w:val="clear"/>
        <w:spacing w:after="160" w:before="0"/>
        <w:jc w:val="center"/>
      </w:pPr>
      <w:r>
        <w:rPr>
          <w:rFonts w:ascii="Arial" w:cs="Arial" w:eastAsia="Arial" w:hAnsi="Arial"/>
          <w:b/>
          <w:bCs/>
          <w:color w:val="FFFFFF"/>
          <w:sz w:val="36"/>
          <w:szCs w:val="36"/>
        </w:rPr>
        <w:t xml:space="preserve">  APPENDIX A: PARTICIPANT ONBOARDING ACKNOWLEDGEMENT FORM  </w:t>
      </w:r>
    </w:p>
    <w:p>
      <w:pPr>
        <w:spacing w:after="60" w:before="60"/>
      </w:pPr>
      <w:r>
        <w:rPr>
          <w:rFonts w:ascii="Arial" w:cs="Arial" w:eastAsia="Arial" w:hAnsi="Arial"/>
          <w:i/>
          <w:iCs/>
          <w:color w:val="444444"/>
          <w:sz w:val="19"/>
          <w:szCs w:val="19"/>
        </w:rPr>
        <w:t xml:space="preserve">To be signed by every participant before accessing any TDC project, system, or resource.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E" w:sz="4"/>
              <w:left w:val="single" w:color="1A3C6E" w:sz="4"/>
              <w:bottom w:val="single" w:color="1A3C6E" w:sz="4"/>
              <w:right w:val="single" w:color="1A3C6E" w:sz="4"/>
            </w:tcBorders>
            <w:shd w:fill="D5E8F0" w:val="clear"/>
            <w:tcMar>
              <w:top w:type="dxa" w:w="160"/>
              <w:left w:type="dxa" w:w="240"/>
              <w:bottom w:type="dxa" w:w="160"/>
              <w:right w:type="dxa" w:w="240"/>
            </w:tcMar>
          </w:tcPr>
          <w:p>
            <w:r>
              <w:rPr>
                <w:rFonts w:ascii="Arial" w:cs="Arial" w:eastAsia="Arial" w:hAnsi="Arial"/>
                <w:b/>
                <w:bCs/>
                <w:color w:val="0A1F44"/>
                <w:sz w:val="22"/>
                <w:szCs w:val="22"/>
              </w:rPr>
              <w:t xml:space="preserve">★  THIS IS A LEGALLY BINDING DOCUMENT</w:t>
            </w:r>
          </w:p>
          <w:p>
            <w:r>
              <w:rPr>
                <w:rFonts w:ascii="Arial" w:cs="Arial" w:eastAsia="Arial" w:hAnsi="Arial"/>
                <w:color w:val="102A52"/>
                <w:sz w:val="20"/>
                <w:szCs w:val="20"/>
              </w:rPr>
              <w:t xml:space="preserve">By signing below, you enter into a legally binding contract with The Developer Community. You confirm you have read, understood, and agree to all documents in this package. Do not sign unless you fully agree.</w:t>
            </w:r>
          </w:p>
        </w:tc>
      </w:tr>
    </w:tbl>
    <w:p>
      <w:pPr>
        <w:spacing w:after="60" w:before="60"/>
      </w:pPr>
      <w:r>
        <w:t xml:space="preserve"/>
      </w:r>
    </w:p>
    <w:p>
      <w:pPr>
        <w:spacing w:after="80" w:before="80"/>
        <w:jc w:val="left"/>
      </w:pPr>
      <w:r>
        <w:rPr>
          <w:rFonts w:ascii="Arial" w:cs="Arial" w:eastAsia="Arial" w:hAnsi="Arial"/>
          <w:color w:val="000000"/>
          <w:sz w:val="20"/>
          <w:szCs w:val="20"/>
        </w:rPr>
        <w:t xml:space="preserve">I, the undersigned Participant, solemnly and irrevocably confirm the following:</w:t>
      </w:r>
    </w:p>
    <w:p>
      <w:pPr>
        <w:spacing w:after="60" w:before="60"/>
      </w:pPr>
      <w:r>
        <w:t xml:space="preserve"/>
      </w:r>
    </w:p>
    <w:p>
      <w:pPr>
        <w:pStyle w:val="ListParagraph"/>
        <w:numPr>
          <w:ilvl w:val="0"/>
          <w:numId w:val="3"/>
        </w:numPr>
        <w:spacing w:after="40" w:before="40"/>
      </w:pPr>
      <w:r>
        <w:rPr>
          <w:rFonts w:ascii="Arial" w:cs="Arial" w:eastAsia="Arial" w:hAnsi="Arial"/>
          <w:color w:val="000000"/>
          <w:sz w:val="20"/>
          <w:szCs w:val="20"/>
        </w:rPr>
        <w:t xml:space="preserve">I have read, understood, and agree to be unconditionally bound by all twelve (12) documents in this Master Legal Documentation Package, including all Appendices.</w:t>
      </w:r>
    </w:p>
    <w:p>
      <w:pPr>
        <w:pStyle w:val="ListParagraph"/>
        <w:numPr>
          <w:ilvl w:val="0"/>
          <w:numId w:val="3"/>
        </w:numPr>
        <w:spacing w:after="40" w:before="40"/>
      </w:pPr>
      <w:r>
        <w:rPr>
          <w:rFonts w:ascii="Arial" w:cs="Arial" w:eastAsia="Arial" w:hAnsi="Arial"/>
          <w:color w:val="000000"/>
          <w:sz w:val="20"/>
          <w:szCs w:val="20"/>
        </w:rPr>
        <w:t xml:space="preserve">I acknowledge that The Developer Community, its President/CEO/Director, and Core Committee hold supreme authority over all TDC matters, and I will not take any Mandatory Approval action without prior written authorisation.</w:t>
      </w:r>
    </w:p>
    <w:p>
      <w:pPr>
        <w:pStyle w:val="ListParagraph"/>
        <w:numPr>
          <w:ilvl w:val="0"/>
          <w:numId w:val="3"/>
        </w:numPr>
        <w:spacing w:after="40" w:before="40"/>
      </w:pPr>
      <w:r>
        <w:rPr>
          <w:rFonts w:ascii="Arial" w:cs="Arial" w:eastAsia="Arial" w:hAnsi="Arial"/>
          <w:color w:val="000000"/>
          <w:sz w:val="20"/>
          <w:szCs w:val="20"/>
        </w:rPr>
        <w:t xml:space="preserve">I understand that ALL products, code, designs, and work product I create in connection with any TDC project are 100% owned by The Developer Community from the moment of creation. I have no ownership, equity, or IP rights whatsoever.</w:t>
      </w:r>
    </w:p>
    <w:p>
      <w:pPr>
        <w:pStyle w:val="ListParagraph"/>
        <w:numPr>
          <w:ilvl w:val="0"/>
          <w:numId w:val="3"/>
        </w:numPr>
        <w:spacing w:after="40" w:before="40"/>
      </w:pPr>
      <w:r>
        <w:rPr>
          <w:rFonts w:ascii="Arial" w:cs="Arial" w:eastAsia="Arial" w:hAnsi="Arial"/>
          <w:color w:val="000000"/>
          <w:sz w:val="20"/>
          <w:szCs w:val="20"/>
        </w:rPr>
        <w:t xml:space="preserve">I understand that I am participating for learning and professional development purposes only, and that I am not an employee, partner, co-founder, or contractor of TDC.</w:t>
      </w:r>
    </w:p>
    <w:p>
      <w:pPr>
        <w:pStyle w:val="ListParagraph"/>
        <w:numPr>
          <w:ilvl w:val="0"/>
          <w:numId w:val="3"/>
        </w:numPr>
        <w:spacing w:after="40" w:before="40"/>
      </w:pPr>
      <w:r>
        <w:rPr>
          <w:rFonts w:ascii="Arial" w:cs="Arial" w:eastAsia="Arial" w:hAnsi="Arial"/>
          <w:color w:val="000000"/>
          <w:sz w:val="20"/>
          <w:szCs w:val="20"/>
        </w:rPr>
        <w:t xml:space="preserve">I understand that participation fees (if applicable) are cost-sharing contributions, not investments, and that financial distributions are not guaranteed and are subject to product performance thresholds.</w:t>
      </w:r>
    </w:p>
    <w:p>
      <w:pPr>
        <w:pStyle w:val="ListParagraph"/>
        <w:numPr>
          <w:ilvl w:val="0"/>
          <w:numId w:val="3"/>
        </w:numPr>
        <w:spacing w:after="40" w:before="40"/>
      </w:pPr>
      <w:r>
        <w:rPr>
          <w:rFonts w:ascii="Arial" w:cs="Arial" w:eastAsia="Arial" w:hAnsi="Arial"/>
          <w:color w:val="000000"/>
          <w:sz w:val="20"/>
          <w:szCs w:val="20"/>
        </w:rPr>
        <w:t xml:space="preserve">I understand that taking any Unauthorised Action subjects me to formal penalties, forfeiture of all benefits, potential removal, and potential legal action.</w:t>
      </w:r>
    </w:p>
    <w:p>
      <w:pPr>
        <w:pStyle w:val="ListParagraph"/>
        <w:numPr>
          <w:ilvl w:val="0"/>
          <w:numId w:val="3"/>
        </w:numPr>
        <w:spacing w:after="40" w:before="40"/>
      </w:pPr>
      <w:r>
        <w:rPr>
          <w:rFonts w:ascii="Arial" w:cs="Arial" w:eastAsia="Arial" w:hAnsi="Arial"/>
          <w:color w:val="000000"/>
          <w:sz w:val="20"/>
          <w:szCs w:val="20"/>
        </w:rPr>
        <w:t xml:space="preserve">I agree to maintain strict confidentiality of all TDC Confidential Information during my participation and for the duration specified in Document 6.</w:t>
      </w:r>
    </w:p>
    <w:p>
      <w:pPr>
        <w:pStyle w:val="ListParagraph"/>
        <w:numPr>
          <w:ilvl w:val="0"/>
          <w:numId w:val="3"/>
        </w:numPr>
        <w:spacing w:after="40" w:before="40"/>
      </w:pPr>
      <w:r>
        <w:rPr>
          <w:rFonts w:ascii="Arial" w:cs="Arial" w:eastAsia="Arial" w:hAnsi="Arial"/>
          <w:color w:val="000000"/>
          <w:sz w:val="20"/>
          <w:szCs w:val="20"/>
        </w:rPr>
        <w:t xml:space="preserve">I agree to comply with the Code of Conduct and the Acceptable Use Policy at all times.</w:t>
      </w:r>
    </w:p>
    <w:p>
      <w:pPr>
        <w:pStyle w:val="ListParagraph"/>
        <w:numPr>
          <w:ilvl w:val="0"/>
          <w:numId w:val="3"/>
        </w:numPr>
        <w:spacing w:after="40" w:before="40"/>
      </w:pPr>
      <w:r>
        <w:rPr>
          <w:rFonts w:ascii="Arial" w:cs="Arial" w:eastAsia="Arial" w:hAnsi="Arial"/>
          <w:color w:val="000000"/>
          <w:sz w:val="20"/>
          <w:szCs w:val="20"/>
        </w:rPr>
        <w:t xml:space="preserve">I understand that TDC may terminate my participation at any time without cause, and that on removal for cause I forfeit all pending benefits.</w:t>
      </w:r>
    </w:p>
    <w:p>
      <w:pPr>
        <w:pStyle w:val="ListParagraph"/>
        <w:numPr>
          <w:ilvl w:val="0"/>
          <w:numId w:val="3"/>
        </w:numPr>
        <w:spacing w:after="40" w:before="40"/>
      </w:pPr>
      <w:r>
        <w:rPr>
          <w:rFonts w:ascii="Arial" w:cs="Arial" w:eastAsia="Arial" w:hAnsi="Arial"/>
          <w:color w:val="000000"/>
          <w:sz w:val="20"/>
          <w:szCs w:val="20"/>
        </w:rPr>
        <w:t xml:space="preserve">I confirm I have not been coerced or misled into signing this Agreement and that I sign of my own free will with full understanding of its consequences.</w:t>
      </w:r>
    </w:p>
    <w:p>
      <w:pPr>
        <w:spacing w:after="60" w:before="60"/>
      </w:pPr>
      <w:r>
        <w:t xml:space="preserve"/>
      </w:r>
    </w:p>
    <w:p>
      <w:pPr>
        <w:spacing w:after="60" w:before="60"/>
      </w:pPr>
      <w:r>
        <w:t xml:space="preserve"/>
      </w:r>
    </w:p>
    <w:p>
      <w:pPr>
        <w:spacing w:after="80" w:before="80"/>
        <w:jc w:val="left"/>
      </w:pPr>
      <w:r>
        <w:rPr>
          <w:rFonts w:ascii="Arial" w:cs="Arial" w:eastAsia="Arial" w:hAnsi="Arial"/>
          <w:color w:val="000000"/>
          <w:sz w:val="20"/>
          <w:szCs w:val="20"/>
        </w:rPr>
        <w:t xml:space="preserve">Full Name (Print): __________________________________________</w:t>
      </w:r>
    </w:p>
    <w:p>
      <w:pPr>
        <w:spacing w:after="80" w:before="80"/>
        <w:jc w:val="left"/>
      </w:pPr>
      <w:r>
        <w:rPr>
          <w:rFonts w:ascii="Arial" w:cs="Arial" w:eastAsia="Arial" w:hAnsi="Arial"/>
          <w:color w:val="000000"/>
          <w:sz w:val="20"/>
          <w:szCs w:val="20"/>
        </w:rPr>
        <w:t xml:space="preserve">Email Address: ______________________________________________</w:t>
      </w:r>
    </w:p>
    <w:p>
      <w:pPr>
        <w:spacing w:after="80" w:before="80"/>
        <w:jc w:val="left"/>
      </w:pPr>
      <w:r>
        <w:rPr>
          <w:rFonts w:ascii="Arial" w:cs="Arial" w:eastAsia="Arial" w:hAnsi="Arial"/>
          <w:color w:val="000000"/>
          <w:sz w:val="20"/>
          <w:szCs w:val="20"/>
        </w:rPr>
        <w:t xml:space="preserve">Phone Number: _______________________________________________</w:t>
      </w:r>
    </w:p>
    <w:p>
      <w:pPr>
        <w:spacing w:after="80" w:before="80"/>
        <w:jc w:val="left"/>
      </w:pPr>
      <w:r>
        <w:rPr>
          <w:rFonts w:ascii="Arial" w:cs="Arial" w:eastAsia="Arial" w:hAnsi="Arial"/>
          <w:color w:val="000000"/>
          <w:sz w:val="20"/>
          <w:szCs w:val="20"/>
        </w:rPr>
        <w:t xml:space="preserve">Role: Fresher  /  Student Developer  /  Working Professional  /  Project Lead  (circle one)</w:t>
      </w:r>
    </w:p>
    <w:p>
      <w:pPr>
        <w:spacing w:after="80" w:before="80"/>
        <w:jc w:val="left"/>
      </w:pPr>
      <w:r>
        <w:rPr>
          <w:rFonts w:ascii="Arial" w:cs="Arial" w:eastAsia="Arial" w:hAnsi="Arial"/>
          <w:color w:val="000000"/>
          <w:sz w:val="20"/>
          <w:szCs w:val="20"/>
        </w:rPr>
        <w:t xml:space="preserve">Project Name (if assigned): __________________________________</w:t>
      </w:r>
    </w:p>
    <w:p>
      <w:pPr>
        <w:spacing w:after="80" w:before="80"/>
        <w:jc w:val="left"/>
      </w:pPr>
      <w:r>
        <w:rPr>
          <w:rFonts w:ascii="Arial" w:cs="Arial" w:eastAsia="Arial" w:hAnsi="Arial"/>
          <w:color w:val="000000"/>
          <w:sz w:val="20"/>
          <w:szCs w:val="20"/>
        </w:rPr>
        <w:t xml:space="preserve">Date: ______________________________________________________</w:t>
      </w:r>
    </w:p>
    <w:p>
      <w:pPr>
        <w:spacing w:after="80" w:before="80"/>
        <w:jc w:val="left"/>
      </w:pPr>
      <w:r>
        <w:rPr>
          <w:rFonts w:ascii="Arial" w:cs="Arial" w:eastAsia="Arial" w:hAnsi="Arial"/>
          <w:color w:val="000000"/>
          <w:sz w:val="20"/>
          <w:szCs w:val="20"/>
        </w:rPr>
        <w:t xml:space="preserve">Signature: _________________________________________________</w:t>
      </w:r>
    </w:p>
    <w:p>
      <w:pPr>
        <w:spacing w:after="60" w:before="60"/>
      </w:pPr>
      <w:r>
        <w:t xml:space="preserve"/>
      </w:r>
    </w:p>
    <w:p>
      <w:pPr>
        <w:spacing w:after="60" w:before="60"/>
      </w:pPr>
      <w:r>
        <w:t xml:space="preserve"/>
      </w:r>
    </w:p>
    <w:p>
      <w:pPr>
        <w:pBdr>
          <w:bottom w:val="single" w:color="1A3C6E" w:sz="6"/>
        </w:pBdr>
        <w:spacing w:after="240" w:before="240"/>
      </w:pPr>
      <w:r>
        <w:t xml:space="preserve"/>
      </w:r>
    </w:p>
    <w:p>
      <w:pPr>
        <w:spacing w:after="80" w:before="160"/>
        <w:jc w:val="center"/>
      </w:pPr>
      <w:r>
        <w:rPr>
          <w:rFonts w:ascii="Arial" w:cs="Arial" w:eastAsia="Arial" w:hAnsi="Arial"/>
          <w:b/>
          <w:bCs/>
          <w:color w:val="1A3C6E"/>
          <w:sz w:val="22"/>
          <w:szCs w:val="22"/>
        </w:rPr>
        <w:t xml:space="preserve">FOR THE DEVELOPER COMMUNITY</w:t>
      </w:r>
    </w:p>
    <w:p>
      <w:pPr>
        <w:spacing w:after="80" w:before="80"/>
        <w:jc w:val="left"/>
      </w:pPr>
      <w:r>
        <w:rPr>
          <w:rFonts w:ascii="Arial" w:cs="Arial" w:eastAsia="Arial" w:hAnsi="Arial"/>
          <w:color w:val="000000"/>
          <w:sz w:val="20"/>
          <w:szCs w:val="20"/>
        </w:rPr>
        <w:t xml:space="preserve">Name: ______________________________________________________</w:t>
      </w:r>
    </w:p>
    <w:p>
      <w:pPr>
        <w:spacing w:after="80" w:before="80"/>
        <w:jc w:val="left"/>
      </w:pPr>
      <w:r>
        <w:rPr>
          <w:rFonts w:ascii="Arial" w:cs="Arial" w:eastAsia="Arial" w:hAnsi="Arial"/>
          <w:color w:val="000000"/>
          <w:sz w:val="20"/>
          <w:szCs w:val="20"/>
        </w:rPr>
        <w:t xml:space="preserve">Title: President / CEO / Director, The Developer Community</w:t>
      </w:r>
    </w:p>
    <w:p>
      <w:pPr>
        <w:spacing w:after="80" w:before="80"/>
        <w:jc w:val="left"/>
      </w:pPr>
      <w:r>
        <w:rPr>
          <w:rFonts w:ascii="Arial" w:cs="Arial" w:eastAsia="Arial" w:hAnsi="Arial"/>
          <w:color w:val="000000"/>
          <w:sz w:val="20"/>
          <w:szCs w:val="20"/>
        </w:rPr>
        <w:t xml:space="preserve">Date: ______________________________________________________</w:t>
      </w:r>
    </w:p>
    <w:p>
      <w:pPr>
        <w:spacing w:after="80" w:before="80"/>
        <w:jc w:val="left"/>
      </w:pPr>
      <w:r>
        <w:rPr>
          <w:rFonts w:ascii="Arial" w:cs="Arial" w:eastAsia="Arial" w:hAnsi="Arial"/>
          <w:color w:val="000000"/>
          <w:sz w:val="20"/>
          <w:szCs w:val="20"/>
        </w:rPr>
        <w:t xml:space="preserve">Signature: _________________________________________________</w:t>
      </w:r>
    </w:p>
    <w:p>
      <w:r>
        <w:br w:type="page"/>
      </w:r>
    </w:p>
    <w:p>
      <w:pPr>
        <w:shd w:fill="0A1F44" w:val="clear"/>
        <w:spacing w:after="160" w:before="0"/>
        <w:jc w:val="center"/>
      </w:pPr>
      <w:r>
        <w:rPr>
          <w:rFonts w:ascii="Arial" w:cs="Arial" w:eastAsia="Arial" w:hAnsi="Arial"/>
          <w:b/>
          <w:bCs/>
          <w:color w:val="FFFFFF"/>
          <w:sz w:val="36"/>
          <w:szCs w:val="36"/>
        </w:rPr>
        <w:t xml:space="preserve">  APPENDIX B: CONSOLIDATED PENALTY SCHEDULE  </w:t>
      </w:r>
    </w:p>
    <w:p>
      <w:pPr>
        <w:spacing w:after="60" w:before="60"/>
      </w:pPr>
      <w:r>
        <w:rPr>
          <w:rFonts w:ascii="Arial" w:cs="Arial" w:eastAsia="Arial" w:hAnsi="Arial"/>
          <w:i/>
          <w:iCs/>
          <w:color w:val="444444"/>
          <w:sz w:val="19"/>
          <w:szCs w:val="19"/>
        </w:rPr>
        <w:t xml:space="preserve">This schedule summarises all penalties applicable under this document package. It is incorporated by reference into all other documents.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VIOLATION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CONSEQUENCE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Taking any Mandatory Approval action (financial, legal, personnel, product, strategic) without prior written authorisation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II–IV depending on harm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Written warning / suspension / permanent removal + forfeiture of all distributions + legal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Making promises to participants about equity, ownership, or guaranteed payouts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III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suspension + permanent removal + legal action if harm caused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Signing contracts, vendor agreements, or partnerships in TDC's name without approval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III–IV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suspension or removal + personal liability for all obligations incurred + legal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Disclosing Confidential Information to third parties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III–IV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removal + injunctive relief + damages claim + legal prosecution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Forking, copying, or commercialising TDC code or products for personal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permanent removal + full IP legal prosecution + damages claim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Soliciting TDC members to join competing platforms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permanent removal + injunctive relief + damages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Initiating public attacks, defamation, or false statements against TDC/CEO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permanent removal + defamation proceedings + damages claim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Harassment, discrimination, or bullying of any TDC participant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permanent removal + no appeal + forfeiture of all benefits + referral to authorities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Fraud or financial misconduct in connection with TDC fees or distributions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permanent removal + criminal referral + full damages recovery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Failure to assign IP as required by Document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III–IV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suspension + legal action to compel assignment + damages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Launching or taking down TDC products without approval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III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 suspension + personal liability for any resulting losses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Representing TDC publicly without authorisation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II–III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Formal warning + privilege suspension + potential removal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Failure to report a known Unauthorised Action within 48 hours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Formal written warning + record entry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Minor scope overrun with no material harm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 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Written warning + retraining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Voluntary mid-project withdrawal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Forfeiture of participation fee + forfeiture of all pending distributions</w:t>
            </w:r>
          </w:p>
        </w:tc>
      </w:tr>
    </w:tbl>
    <w:p>
      <w:pPr>
        <w:spacing w:after="60" w:before="60"/>
      </w:pPr>
      <w:r>
        <w:t xml:space="preserve"/>
      </w:r>
    </w:p>
    <w:p>
      <w:pPr>
        <w:spacing w:after="60" w:before="60"/>
      </w:pPr>
      <w:r>
        <w:t xml:space="preserve"/>
      </w:r>
    </w:p>
    <w:p>
      <w:pPr>
        <w:pBdr>
          <w:bottom w:val="single" w:color="0A1F44" w:sz="8"/>
        </w:pBdr>
        <w:spacing w:after="240" w:before="240"/>
      </w:pPr>
      <w:r>
        <w:t xml:space="preserve"/>
      </w:r>
    </w:p>
    <w:p>
      <w:pPr>
        <w:spacing w:after="80" w:before="200"/>
        <w:jc w:val="center"/>
      </w:pPr>
      <w:r>
        <w:rPr>
          <w:rFonts w:ascii="Arial" w:cs="Arial" w:eastAsia="Arial" w:hAnsi="Arial"/>
          <w:b/>
          <w:bCs/>
          <w:color w:val="0A1F44"/>
          <w:sz w:val="28"/>
          <w:szCs w:val="28"/>
        </w:rPr>
        <w:t xml:space="preserve">THE DEVELOPER COMMUNITY</w:t>
      </w:r>
    </w:p>
    <w:p>
      <w:pPr>
        <w:spacing w:after="80" w:before="0"/>
        <w:jc w:val="center"/>
      </w:pPr>
      <w:r>
        <w:rPr>
          <w:rFonts w:ascii="Arial" w:cs="Arial" w:eastAsia="Arial" w:hAnsi="Arial"/>
          <w:i/>
          <w:iCs/>
          <w:color w:val="444444"/>
          <w:sz w:val="20"/>
          <w:szCs w:val="20"/>
        </w:rPr>
        <w:t xml:space="preserve">Building the next generation of developers.</w:t>
      </w:r>
    </w:p>
    <w:p>
      <w:pPr>
        <w:spacing w:after="0" w:before="0"/>
        <w:jc w:val="center"/>
      </w:pPr>
      <w:r>
        <w:rPr>
          <w:rFonts w:ascii="Arial" w:cs="Arial" w:eastAsia="Arial" w:hAnsi="Arial"/>
          <w:color w:val="444444"/>
          <w:sz w:val="18"/>
          <w:szCs w:val="18"/>
        </w:rPr>
        <w:t xml:space="preserve">All rights reserved. This document is subject to amendment at the sole discretion of TDC leadership.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444444"/>
        <w:sz w:val="16"/>
        <w:szCs w:val="16"/>
      </w:rPr>
      <w:t xml:space="preserve">CONFIDENTIAL  |  All rights reserved © The Developer Community</w:t>
    </w:r>
    <w:r>
      <w:rPr>
        <w:rFonts w:ascii="Arial" w:cs="Arial" w:eastAsia="Arial" w:hAnsi="Arial"/>
        <w:color w:val="444444"/>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i/>
        <w:iCs/>
        <w:color w:val="444444"/>
        <w:sz w:val="17"/>
        <w:szCs w:val="17"/>
      </w:rPr>
      <w:t xml:space="preserve">THE DEVELOPER COMMUNITY  —  MASTER LEGAL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C6E"/>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1A3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2026-04-16T10:27:02.541Z</dcterms:created>
  <dcterms:modified xsi:type="dcterms:W3CDTF">2026-04-16T10:27:02.542Z</dcterms:modified>
</cp:coreProperties>
</file>

<file path=docProps/custom.xml><?xml version="1.0" encoding="utf-8"?>
<Properties xmlns="http://schemas.openxmlformats.org/officeDocument/2006/custom-properties" xmlns:vt="http://schemas.openxmlformats.org/officeDocument/2006/docPropsVTypes"/>
</file>