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111827"/>
          <w:sz w:val="34"/>
        </w:rPr>
        <w:t>Characterizing Temporal Memory Interference in Dynamic Graph Neural Networks under Recurring Interaction Regimes</w:t>
      </w:r>
    </w:p>
    <w:tbl>
      <w:tblPr>
        <w:tblW w:type="auto" w:w="0"/>
        <w:jc w:val="center"/>
        <w:tblLook w:firstColumn="1" w:firstRow="1" w:lastColumn="0" w:lastRow="0" w:noHBand="0" w:noVBand="1" w:val="04A0"/>
      </w:tblPr>
      <w:tblGrid>
        <w:gridCol w:w="5184"/>
        <w:gridCol w:w="5184"/>
      </w:tblGrid>
      <w:tr>
        <w:trPr>
          <w:cantSplit/>
        </w:trPr>
        <w:tc>
          <w:tcPr>
            <w:tcW w:type="dxa" w:w="5184"/>
          </w:tcPr>
          <w:p>
            <w:pPr>
              <w:spacing w:before="0" w:after="80"/>
              <w:jc w:val="center"/>
            </w:pPr>
            <w:r>
              <w:rPr>
                <w:rFonts w:ascii="Times New Roman" w:hAnsi="Times New Roman"/>
                <w:b/>
                <w:sz w:val="20"/>
              </w:rPr>
              <w:t>Pavan Aksshay P</w:t>
              <w:br/>
            </w:r>
            <w:r>
              <w:rPr>
                <w:rFonts w:ascii="Times New Roman" w:hAnsi="Times New Roman"/>
                <w:i/>
                <w:sz w:val="18"/>
              </w:rPr>
              <w:t>Dept. of Computer Science &amp; Engineering</w:t>
              <w:br/>
              <w:t>Manipal Institute of Technology Bengaluru</w:t>
              <w:br/>
              <w:t>Manipal Academy of Higher Education</w:t>
              <w:br/>
              <w:t>Manipal, India</w:t>
              <w:br/>
            </w:r>
            <w:r>
              <w:rPr>
                <w:rFonts w:ascii="Times New Roman" w:hAnsi="Times New Roman"/>
                <w:color w:val="2563EB"/>
                <w:sz w:val="18"/>
              </w:rPr>
              <w:t>pavan.mitblr2024@learner.manipal.edu</w:t>
            </w:r>
          </w:p>
        </w:tc>
        <w:tc>
          <w:tcPr>
            <w:tcW w:type="dxa" w:w="5184"/>
          </w:tcPr>
          <w:p>
            <w:pPr>
              <w:spacing w:before="0" w:after="80"/>
              <w:jc w:val="center"/>
            </w:pPr>
            <w:r>
              <w:rPr>
                <w:rFonts w:ascii="Times New Roman" w:hAnsi="Times New Roman"/>
                <w:b/>
                <w:sz w:val="20"/>
              </w:rPr>
              <w:t>Dr. Deepak Sethi</w:t>
              <w:br/>
            </w:r>
            <w:r>
              <w:rPr>
                <w:rFonts w:ascii="Times New Roman" w:hAnsi="Times New Roman"/>
                <w:i/>
                <w:sz w:val="18"/>
              </w:rPr>
              <w:t>Dept. of Computer Science &amp; Engineering</w:t>
              <w:br/>
              <w:t>Manipal Institute of Technology Bengaluru</w:t>
              <w:br/>
              <w:t>Manipal Academy of Higher Education</w:t>
              <w:br/>
              <w:t>Manipal, India</w:t>
              <w:br/>
            </w:r>
            <w:r>
              <w:rPr>
                <w:rFonts w:ascii="Times New Roman" w:hAnsi="Times New Roman"/>
                <w:color w:val="2563EB"/>
                <w:sz w:val="18"/>
              </w:rPr>
              <w:t>deepak.sethi@manipal.edu</w:t>
            </w:r>
          </w:p>
        </w:tc>
      </w:tr>
    </w:tbl>
    <w:p>
      <w:pPr>
        <w:spacing w:before="0" w:after="120"/>
      </w:pPr>
    </w:p>
    <w:p>
      <w:pPr>
        <w:keepNext/>
        <w:spacing w:before="160" w:after="40"/>
      </w:pPr>
      <w:r>
        <w:rPr>
          <w:rFonts w:ascii="Times New Roman" w:hAnsi="Times New Roman"/>
          <w:b/>
          <w:color w:val="0F172A"/>
          <w:sz w:val="23"/>
        </w:rPr>
        <w:t>Abstract</w:t>
      </w:r>
    </w:p>
    <w:p>
      <w:pPr>
        <w:spacing w:before="0" w:after="60" w:line="269" w:lineRule="auto"/>
      </w:pPr>
      <w:r>
        <w:rPr>
          <w:rFonts w:ascii="Times New Roman" w:hAnsi="Times New Roman"/>
          <w:i w:val="0"/>
          <w:color w:val="1F2937"/>
          <w:sz w:val="19"/>
        </w:rPr>
        <w:t>Continuous-time temporal graph neural networks keep evolving node states while processing an interaction stream. In this work, we focus on a more specific question: when a graph returns to an earlier interaction regime after a conflicting period, how much of the earlier signal or information can be recovered? We study and test this question with a density-matched dynamic stochastic block model and an A1 -&gt; B -&gt; A2 protocol. Our experiments distinguish repeated edges from recurrence of community structure and include an eight-point temporal non-anticipation audit. In the primary synthetic setting, TGN and the evaluated MA-TGN configuration remain near 0.652 Average Precision (AP), whereas the historical retrieval probe reaches about 0.760 AP. Random retrieval decreases from 0.7423 to 0.7193 as T_B increases from 25 to 200 snapshots. EdgeBank reaches 0.8884 AP when the same edges recur, but falls to 0.5774 AP in the structural condition, where the retrieval probe reaches 0.6125 AP. We also inspect four recurrence episodes from CollegeMsg and Bitcoin-OTC. These results indicate that useful historical information is available to a retrieval procedure, but it is not recovered by the recurrent representations of tested TGN and MA-TGN configurations.</w:t>
      </w:r>
    </w:p>
    <w:p>
      <w:pPr>
        <w:spacing w:before="0" w:after="60" w:line="269" w:lineRule="auto"/>
      </w:pPr>
      <w:r>
        <w:rPr>
          <w:rFonts w:ascii="Times New Roman" w:hAnsi="Times New Roman"/>
          <w:b/>
          <w:sz w:val="19"/>
        </w:rPr>
        <w:t xml:space="preserve">Keywords: </w:t>
      </w:r>
      <w:r>
        <w:rPr>
          <w:rFonts w:ascii="Times New Roman" w:hAnsi="Times New Roman"/>
          <w:i w:val="0"/>
          <w:color w:val="1F2937"/>
          <w:sz w:val="19"/>
        </w:rPr>
        <w:t>temporal graph neural networks, dynamic graphs, temporal memory interference, regime recurrence, episodic retrieval, link prediction.</w:t>
      </w:r>
    </w:p>
    <w:p>
      <w:pPr>
        <w:keepNext/>
        <w:spacing w:before="160" w:after="40"/>
      </w:pPr>
      <w:r>
        <w:rPr>
          <w:rFonts w:ascii="Times New Roman" w:hAnsi="Times New Roman"/>
          <w:b/>
          <w:color w:val="0F172A"/>
          <w:sz w:val="23"/>
        </w:rPr>
        <w:t>Core Scientific Contributions</w:t>
      </w:r>
    </w:p>
    <w:p>
      <w:pPr>
        <w:pStyle w:val="ListBullet"/>
        <w:spacing w:before="0" w:after="40" w:line="269" w:lineRule="auto"/>
      </w:pPr>
      <w:r>
        <w:rPr>
          <w:rFonts w:ascii="Times New Roman" w:hAnsi="Times New Roman"/>
          <w:b/>
          <w:sz w:val="19"/>
        </w:rPr>
        <w:t xml:space="preserve">1. Measurable Recurrence Protocol: </w:t>
      </w:r>
      <w:r>
        <w:rPr>
          <w:rFonts w:ascii="Times New Roman" w:hAnsi="Times New Roman"/>
          <w:color w:val="1F2937"/>
          <w:sz w:val="19"/>
        </w:rPr>
        <w:t>Introduces a measurable A-to-B-to-A protocol for Temporal Memory Interference with strictly matched marginal edge density.</w:t>
      </w:r>
    </w:p>
    <w:p>
      <w:pPr>
        <w:pStyle w:val="ListBullet"/>
        <w:spacing w:before="0" w:after="40" w:line="269" w:lineRule="auto"/>
      </w:pPr>
      <w:r>
        <w:rPr>
          <w:rFonts w:ascii="Times New Roman" w:hAnsi="Times New Roman"/>
          <w:b/>
          <w:sz w:val="19"/>
        </w:rPr>
        <w:t xml:space="preserve">2. Disentangled Evaluation: </w:t>
      </w:r>
      <w:r>
        <w:rPr>
          <w:rFonts w:ascii="Times New Roman" w:hAnsi="Times New Roman"/>
          <w:color w:val="1F2937"/>
          <w:sz w:val="19"/>
        </w:rPr>
        <w:t>Separates exact-edge recurrence from latent structural community recurrence.</w:t>
      </w:r>
    </w:p>
    <w:p>
      <w:pPr>
        <w:pStyle w:val="ListBullet"/>
        <w:spacing w:before="0" w:after="40" w:line="269" w:lineRule="auto"/>
      </w:pPr>
      <w:r>
        <w:rPr>
          <w:rFonts w:ascii="Times New Roman" w:hAnsi="Times New Roman"/>
          <w:b/>
          <w:sz w:val="19"/>
        </w:rPr>
        <w:t xml:space="preserve">3. Diagnostic Bounds: </w:t>
      </w:r>
      <w:r>
        <w:rPr>
          <w:rFonts w:ascii="Times New Roman" w:hAnsi="Times New Roman"/>
          <w:color w:val="1F2937"/>
          <w:sz w:val="19"/>
        </w:rPr>
        <w:t>Compares continuous recurrent models, edge-history baselines, and explicitly identified diagnostic retrieval probes.</w:t>
      </w:r>
    </w:p>
    <w:p>
      <w:pPr>
        <w:pStyle w:val="ListBullet"/>
        <w:spacing w:before="0" w:after="40" w:line="269" w:lineRule="auto"/>
      </w:pPr>
      <w:r>
        <w:rPr>
          <w:rFonts w:ascii="Times New Roman" w:hAnsi="Times New Roman"/>
          <w:b/>
          <w:sz w:val="19"/>
        </w:rPr>
        <w:t xml:space="preserve">4. Multi-Domain Validation: </w:t>
      </w:r>
      <w:r>
        <w:rPr>
          <w:rFonts w:ascii="Times New Roman" w:hAnsi="Times New Roman"/>
          <w:color w:val="1F2937"/>
          <w:sz w:val="19"/>
        </w:rPr>
        <w:t>Evaluates controlled synthetic streams across 10 seeds and reports exploratory results on CollegeMsg and Bitcoin-OTC datasets [25-27, 31, 32].</w:t>
      </w:r>
    </w:p>
    <w:p>
      <w:pPr>
        <w:keepNext/>
        <w:spacing w:before="160" w:after="40"/>
      </w:pPr>
      <w:r>
        <w:rPr>
          <w:rFonts w:ascii="Times New Roman" w:hAnsi="Times New Roman"/>
          <w:b/>
          <w:color w:val="0F172A"/>
          <w:sz w:val="23"/>
        </w:rPr>
        <w:t>1. Introduction</w:t>
      </w:r>
    </w:p>
    <w:p>
      <w:pPr>
        <w:keepNext/>
        <w:spacing w:before="120" w:after="40"/>
      </w:pPr>
      <w:r>
        <w:rPr>
          <w:rFonts w:ascii="Times New Roman" w:hAnsi="Times New Roman"/>
          <w:b/>
          <w:color w:val="1E293B"/>
          <w:sz w:val="20"/>
        </w:rPr>
        <w:t>1.1 Problem: Dynamic Relational Streams with Recurring Dynamics</w:t>
      </w:r>
    </w:p>
    <w:p>
      <w:pPr>
        <w:spacing w:before="0" w:after="60" w:line="269" w:lineRule="auto"/>
      </w:pPr>
      <w:r>
        <w:rPr>
          <w:rFonts w:ascii="Times New Roman" w:hAnsi="Times New Roman"/>
          <w:i w:val="0"/>
          <w:color w:val="1F2937"/>
          <w:sz w:val="19"/>
        </w:rPr>
        <w:t>Dynamic graphs occur in communication, social, commercial, financial, and collaborative systems, where the set of active relationships changes over time [28, 36]. Formally, let G_t = (V, E_t) denote a dynamic relational network at time t, where interactions arrive as an asynchronous stream of timestamped events e = (u, v, t) with u, v in V. Models such as TGN, DyRep, JODIE, and TGAT process these interactions and update representations m_v(t) as new events arrive [1-4]. Our concern is not whether these models can predict the next event in general. It is whether a representation that is updated continuously can still expose an earlier structural pattern after a period of conflicting activity.</w:t>
      </w:r>
    </w:p>
    <w:p>
      <w:pPr>
        <w:keepNext/>
        <w:spacing w:before="120" w:after="40"/>
      </w:pPr>
      <w:r>
        <w:rPr>
          <w:rFonts w:ascii="Times New Roman" w:hAnsi="Times New Roman"/>
          <w:b/>
          <w:color w:val="1E293B"/>
          <w:sz w:val="20"/>
        </w:rPr>
        <w:t>1.2 Motivation: The Gap in Recurrence Benchmarking</w:t>
      </w:r>
    </w:p>
    <w:p>
      <w:pPr>
        <w:spacing w:before="0" w:after="60" w:line="269" w:lineRule="auto"/>
      </w:pPr>
      <w:r>
        <w:rPr>
          <w:rFonts w:ascii="Times New Roman" w:hAnsi="Times New Roman"/>
          <w:i w:val="0"/>
          <w:color w:val="1F2937"/>
          <w:sz w:val="19"/>
        </w:rPr>
        <w:t>Most dynamic link-prediction benchmarks use chronological splits, with earlier events used to predict later events [14, 16, 19, 32]. Such a split is useful for forecasting, but it does not isolate the case in which an earlier regime returns after a conflicting interval. Our benchmark therefore uses an A1 -&gt; B -&gt; A2 sequence (illustrated in Figure 1) and varies both the length and the type of B. The matched A1 -&gt; A2 sequence serves as the control, allowing the effect of the intervening regime to be measured directly.</w:t>
      </w:r>
    </w:p>
    <w:p>
      <w:pPr>
        <w:keepNext/>
        <w:spacing w:before="80" w:after="40"/>
        <w:jc w:val="center"/>
      </w:pPr>
      <w:r>
        <w:drawing>
          <wp:inline xmlns:a="http://schemas.openxmlformats.org/drawingml/2006/main" xmlns:pic="http://schemas.openxmlformats.org/drawingml/2006/picture">
            <wp:extent cx="4572000" cy="1302152"/>
            <wp:docPr id="1" name="Picture 1"/>
            <wp:cNvGraphicFramePr>
              <a:graphicFrameLocks noChangeAspect="1"/>
            </wp:cNvGraphicFramePr>
            <a:graphic>
              <a:graphicData uri="http://schemas.openxmlformats.org/drawingml/2006/picture">
                <pic:pic>
                  <pic:nvPicPr>
                    <pic:cNvPr id="0" name="fig1_benchmark_concept.png"/>
                    <pic:cNvPicPr/>
                  </pic:nvPicPr>
                  <pic:blipFill>
                    <a:blip r:embed="rId9"/>
                    <a:stretch>
                      <a:fillRect/>
                    </a:stretch>
                  </pic:blipFill>
                  <pic:spPr>
                    <a:xfrm>
                      <a:off x="0" y="0"/>
                      <a:ext cx="4572000" cy="1302152"/>
                    </a:xfrm>
                    <a:prstGeom prst="rect"/>
                  </pic:spPr>
                </pic:pic>
              </a:graphicData>
            </a:graphic>
          </wp:inline>
        </w:drawing>
      </w:r>
    </w:p>
    <w:p>
      <w:pPr>
        <w:spacing w:before="20" w:after="120"/>
        <w:jc w:val="center"/>
      </w:pPr>
      <w:r>
        <w:rPr>
          <w:rFonts w:ascii="Times New Roman" w:hAnsi="Times New Roman"/>
          <w:i/>
          <w:color w:val="475569"/>
          <w:sz w:val="17"/>
        </w:rPr>
        <w:t>Figure 1: Conceptual Overview of the Controlled Temporal Recurrence Benchmark and Regime Sequence (Regime A1 -&gt; Distractor Regime B -&gt; Recurring Regime A2).</w:t>
      </w:r>
    </w:p>
    <w:p>
      <w:pPr>
        <w:keepNext/>
        <w:spacing w:before="120" w:after="40"/>
      </w:pPr>
      <w:r>
        <w:rPr>
          <w:rFonts w:ascii="Times New Roman" w:hAnsi="Times New Roman"/>
          <w:b/>
          <w:color w:val="1E293B"/>
          <w:sz w:val="20"/>
        </w:rPr>
        <w:t>1.3 Research Hypotheses (H1-H4)</w:t>
      </w:r>
    </w:p>
    <w:p>
      <w:pPr>
        <w:spacing w:before="0" w:after="60" w:line="269" w:lineRule="auto"/>
      </w:pPr>
      <w:r>
        <w:rPr>
          <w:rFonts w:ascii="Times New Roman" w:hAnsi="Times New Roman"/>
          <w:i w:val="0"/>
          <w:color w:val="1F2937"/>
          <w:sz w:val="19"/>
        </w:rPr>
        <w:t>We use four hypotheses to organize the experiments. Each is treated as an empirical question, so the results are used to assess the prediction rather than to assume it in advance:</w:t>
      </w:r>
    </w:p>
    <w:p>
      <w:pPr>
        <w:pStyle w:val="ListBullet"/>
        <w:spacing w:before="0" w:after="40" w:line="269" w:lineRule="auto"/>
      </w:pPr>
      <w:r>
        <w:rPr>
          <w:rFonts w:ascii="Times New Roman" w:hAnsi="Times New Roman"/>
          <w:b/>
          <w:sz w:val="19"/>
        </w:rPr>
        <w:t xml:space="preserve">H1 (Duration effect): </w:t>
      </w:r>
      <w:r>
        <w:rPr>
          <w:rFonts w:ascii="Times New Roman" w:hAnsi="Times New Roman"/>
          <w:color w:val="1F2937"/>
          <w:sz w:val="19"/>
        </w:rPr>
        <w:t>The diagnostic random-retrieval baseline should lose predictive value as the conflicting interval T_B becomes longer.</w:t>
      </w:r>
    </w:p>
    <w:p>
      <w:pPr>
        <w:pStyle w:val="ListBullet"/>
        <w:spacing w:before="0" w:after="40" w:line="269" w:lineRule="auto"/>
      </w:pPr>
      <w:r>
        <w:rPr>
          <w:rFonts w:ascii="Times New Roman" w:hAnsi="Times New Roman"/>
          <w:b/>
          <w:sz w:val="19"/>
        </w:rPr>
        <w:t xml:space="preserve">H2 (Capacity): </w:t>
      </w:r>
      <w:r>
        <w:rPr>
          <w:rFonts w:ascii="Times New Roman" w:hAnsi="Times New Roman"/>
          <w:color w:val="1F2937"/>
          <w:sz w:val="19"/>
        </w:rPr>
        <w:t>Increasing the recurrent memory dimension d_m should provide only limited protection against long conflicting intervals in the evaluated TGN configuration.</w:t>
      </w:r>
    </w:p>
    <w:p>
      <w:pPr>
        <w:pStyle w:val="ListBullet"/>
        <w:spacing w:before="0" w:after="40" w:line="269" w:lineRule="auto"/>
      </w:pPr>
      <w:r>
        <w:rPr>
          <w:rFonts w:ascii="Times New Roman" w:hAnsi="Times New Roman"/>
          <w:b/>
          <w:sz w:val="19"/>
        </w:rPr>
        <w:t xml:space="preserve">H3 (Addressable retrieval): </w:t>
      </w:r>
      <w:r>
        <w:rPr>
          <w:rFonts w:ascii="Times New Roman" w:hAnsi="Times New Roman"/>
          <w:color w:val="1F2937"/>
          <w:sz w:val="19"/>
        </w:rPr>
        <w:t>An addressable historical state should recover more of the earlier signal than the continuously updated recurrent state. The synthetic results do not show a gain for the evaluated MA-TGN implementation itself; the retrieval probe is therefore used as a diagnostic reference rather than as evidence of a successful architectural solution.</w:t>
      </w:r>
    </w:p>
    <w:p>
      <w:pPr>
        <w:pStyle w:val="ListBullet"/>
        <w:spacing w:before="0" w:after="40" w:line="269" w:lineRule="auto"/>
      </w:pPr>
      <w:r>
        <w:rPr>
          <w:rFonts w:ascii="Times New Roman" w:hAnsi="Times New Roman"/>
          <w:b/>
          <w:sz w:val="19"/>
        </w:rPr>
        <w:t xml:space="preserve">H4 (Exact versus structural recurrence): </w:t>
      </w:r>
      <w:r>
        <w:rPr>
          <w:rFonts w:ascii="Times New Roman" w:hAnsi="Times New Roman"/>
          <w:color w:val="1F2937"/>
          <w:sz w:val="19"/>
        </w:rPr>
        <w:t>When the recurring signal is expressed mainly through community structure rather than repeated node pairs, historical structural retrieval should retain an advantage over exact-edge lookup.</w:t>
      </w:r>
    </w:p>
    <w:p>
      <w:pPr>
        <w:keepNext/>
        <w:spacing w:before="160" w:after="40"/>
      </w:pPr>
      <w:r>
        <w:rPr>
          <w:rFonts w:ascii="Times New Roman" w:hAnsi="Times New Roman"/>
          <w:b/>
          <w:color w:val="0F172A"/>
          <w:sz w:val="23"/>
        </w:rPr>
        <w:t>2. Related Work and Positioning</w:t>
      </w:r>
    </w:p>
    <w:p>
      <w:pPr>
        <w:spacing w:before="0" w:after="60" w:line="269" w:lineRule="auto"/>
      </w:pPr>
      <w:r>
        <w:rPr>
          <w:rFonts w:ascii="Times New Roman" w:hAnsi="Times New Roman"/>
          <w:i w:val="0"/>
          <w:color w:val="1F2937"/>
          <w:sz w:val="19"/>
        </w:rPr>
        <w:t>The related work relevant to this study falls into six broad groups: continuous-time recurrent models [1-4, 31], temporal-neighborhood and long-history methods [5-9, 17, 18, 33], exact-edge historical lookup tables [14, 16, 19, 32], continual-learning approaches based on replay or regularization [10-12, 21, 29, 30, 34], episodic graph memory frameworks [22, 23, 35], and periodic/harmonic TGNNs [7, 24]. These lines of work address different parts of the temporal-memory problem. Our experiment instead asks what remains accessible when a previously observed regime returns after a controlled interruption.</w:t>
      </w:r>
    </w:p>
    <w:p>
      <w:pPr>
        <w:spacing w:before="0" w:after="60" w:line="269" w:lineRule="auto"/>
      </w:pPr>
      <w:r>
        <w:rPr>
          <w:rFonts w:ascii="Times New Roman" w:hAnsi="Times New Roman"/>
          <w:i w:val="0"/>
          <w:color w:val="1F2937"/>
          <w:sz w:val="19"/>
        </w:rPr>
        <w:t>As structured in Table 1, existing methods differ substantially in how they retain historical interactions, varying from continuous recurrent hidden state compression to explicit non-parametric edge lookups.</w:t>
      </w:r>
    </w:p>
    <w:p>
      <w:pPr>
        <w:keepNext/>
        <w:spacing w:before="120" w:after="40"/>
        <w:jc w:val="center"/>
      </w:pPr>
      <w:r>
        <w:rPr>
          <w:rFonts w:ascii="Times New Roman" w:hAnsi="Times New Roman"/>
          <w:b/>
          <w:sz w:val="18"/>
        </w:rPr>
        <w:t>Table 1: Literature Positioning and Architectural Taxonomy.</w:t>
      </w:r>
    </w:p>
    <w:tbl>
      <w:tblPr>
        <w:tblW w:type="auto" w:w="0"/>
        <w:jc w:val="center"/>
        <w:tblLook w:firstColumn="1" w:firstRow="1" w:lastColumn="0" w:lastRow="0" w:noHBand="0" w:noVBand="1" w:val="04A0"/>
      </w:tblPr>
      <w:tblGrid>
        <w:gridCol w:w="2592"/>
        <w:gridCol w:w="2592"/>
        <w:gridCol w:w="2592"/>
        <w:gridCol w:w="2592"/>
      </w:tblGrid>
      <w:tr>
        <w:trPr>
          <w:tblHeader/>
          <w:cantSplit/>
        </w:trPr>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Literature Category</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Core Mechanism</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Compresses history into evolving node state</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Key Representative Venues</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Continuous Recurrent TGNNs</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Node-level GRU/RNN updated per interaction event</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Yes; uses sequential gating rather than an explicit checkpoint cache</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TGN (ICML'20) [1], JODIE (KDD'19) [3], DyRep (ICLR'19) [2]</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Long-History &amp; Memory-Free</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Full temporal neighbor patching via self-attention</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No; strong when exact historical edges recur; less direct for structural recurrence</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DyGFormer (ICLR'23) [18], GraphMixer (ICLR'23) [17]</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Exact Edge Lookup Tables</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Raw memorization of positive historical edges</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No; non-parametric edge frequency tracking</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EdgeBank (NeurIPS'22) [14]</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Continual Graph Learning</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Experience replay / regularization for discrete task shifts</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Uses explicit replay or regularization; often assumes task boundaries [21, 29, 30]</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CRAFT (NeurIPS'23) [20], ER-GNN (AAAI'21) [10]</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Episodic Graph Memory</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Key-value addressing over graph snapshot checkpoints</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Hybrid; explicit temporal encoding alongside embeddings [35]</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NEU (KDD'22) [23], MA-TGN (This Work)</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Periodic / Harmonic TGNNs</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Fourier / Bochner time encoding for cyclic patterns</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Encodes periodic time coordinates; requires strict mathematical periodicity</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TGAT (ICLR'20) [4], APAN (SIGMOD'21) [7]</w:t>
            </w:r>
          </w:p>
        </w:tc>
      </w:tr>
    </w:tbl>
    <w:p>
      <w:pPr>
        <w:spacing w:before="0" w:after="80"/>
      </w:pPr>
    </w:p>
    <w:p>
      <w:pPr>
        <w:keepNext/>
        <w:spacing w:before="160" w:after="40"/>
      </w:pPr>
      <w:r>
        <w:rPr>
          <w:rFonts w:ascii="Times New Roman" w:hAnsi="Times New Roman"/>
          <w:b/>
          <w:color w:val="0F172A"/>
          <w:sz w:val="23"/>
        </w:rPr>
        <w:t>3. Problem Formulation and Temporal Non-Anticipation Audit</w:t>
      </w:r>
    </w:p>
    <w:p>
      <w:pPr>
        <w:spacing w:before="0" w:after="60" w:line="269" w:lineRule="auto"/>
      </w:pPr>
      <w:r>
        <w:rPr>
          <w:rFonts w:ascii="Times New Roman" w:hAnsi="Times New Roman"/>
          <w:i w:val="0"/>
          <w:color w:val="1F2937"/>
          <w:sz w:val="19"/>
        </w:rPr>
        <w:t>Let G_t=(V,E_t) be the graph at time t and let e=(u,v,t) denote an interaction. A recurrent TGNN maintains a node state m_v(t), updated only with information available up to time t [1, 2]. We evaluate link prediction when Regime A returns after A1 -&gt; B -&gt; A2 and compare it with the matched A1 -&gt; A2 control, which removes the intervening B regime.</w:t>
      </w:r>
    </w:p>
    <w:p>
      <w:pPr>
        <w:keepNext/>
        <w:spacing w:before="120" w:after="40"/>
      </w:pPr>
      <w:r>
        <w:rPr>
          <w:rFonts w:ascii="Times New Roman" w:hAnsi="Times New Roman"/>
          <w:b/>
          <w:color w:val="1E293B"/>
          <w:sz w:val="20"/>
        </w:rPr>
        <w:t>3.1 Definition of Temporal Memory Interference</w:t>
      </w:r>
    </w:p>
    <w:p>
      <w:pPr>
        <w:spacing w:before="0" w:after="60" w:line="269" w:lineRule="auto"/>
      </w:pPr>
      <w:r>
        <w:rPr>
          <w:rFonts w:ascii="Times New Roman" w:hAnsi="Times New Roman"/>
          <w:i w:val="0"/>
          <w:color w:val="1F2937"/>
          <w:sz w:val="19"/>
        </w:rPr>
        <w:t>We define Temporal Memory Interference (TMI) as the performance drop between the uninterrupted control and the regime-interrupted stream:</w:t>
      </w:r>
    </w:p>
    <w:p>
      <w:pPr>
        <w:keepNext/>
        <w:spacing w:before="40" w:after="60"/>
        <w:jc w:val="center"/>
      </w:pPr>
      <w:r>
        <w:rPr>
          <w:rFonts w:ascii="Times New Roman" w:hAnsi="Times New Roman"/>
          <w:b/>
          <w:i/>
          <w:color w:val="0F172A"/>
          <w:sz w:val="19"/>
        </w:rPr>
        <w:t>TMI(T_B) = AP(A1 -&gt; A2 uninterrupted) - AP(A1 -&gt; B(T_B) -&gt; A2)</w:t>
      </w:r>
    </w:p>
    <w:p>
      <w:pPr>
        <w:spacing w:before="0" w:after="60" w:line="269" w:lineRule="auto"/>
      </w:pPr>
      <w:r>
        <w:rPr>
          <w:rFonts w:ascii="Times New Roman" w:hAnsi="Times New Roman"/>
          <w:i w:val="0"/>
          <w:color w:val="1F2937"/>
          <w:sz w:val="19"/>
        </w:rPr>
        <w:t>A positive TMI value means that performance is lower after the intervening B regime than in the uninterrupted control. A value close to zero is not, by itself, evidence that the representation retained the earlier information: it can also arise when both conditions are already near the model's performance floor. That is why the control is interpreted together with the historical retrieval probes.</w:t>
      </w:r>
    </w:p>
    <w:p>
      <w:pPr>
        <w:keepNext/>
        <w:spacing w:before="120" w:after="40"/>
      </w:pPr>
      <w:r>
        <w:rPr>
          <w:rFonts w:ascii="Times New Roman" w:hAnsi="Times New Roman"/>
          <w:b/>
          <w:color w:val="1E293B"/>
          <w:sz w:val="20"/>
        </w:rPr>
        <w:t>3.2 Eight-Point Temporal Non-Anticipation Audit</w:t>
      </w:r>
    </w:p>
    <w:p>
      <w:pPr>
        <w:spacing w:before="0" w:after="60" w:line="269" w:lineRule="auto"/>
      </w:pPr>
      <w:r>
        <w:rPr>
          <w:rFonts w:ascii="Times New Roman" w:hAnsi="Times New Roman"/>
          <w:i w:val="0"/>
          <w:color w:val="1F2937"/>
          <w:sz w:val="19"/>
        </w:rPr>
        <w:t>For every compared method, we applied the same eight non-anticipation checks. As detailed in Table 2, they cover candidate and label parity, temporal masking, update order, regime-boundary blindness, checkpoint masking, and shared negative sampling. Together, these checks address the main sources of temporal leakage in this benchmark; they are not intended as a causal identification procedure.</w:t>
      </w:r>
    </w:p>
    <w:p>
      <w:pPr>
        <w:keepNext/>
        <w:spacing w:before="120" w:after="40"/>
        <w:jc w:val="center"/>
      </w:pPr>
      <w:r>
        <w:rPr>
          <w:rFonts w:ascii="Times New Roman" w:hAnsi="Times New Roman"/>
          <w:b/>
          <w:sz w:val="18"/>
        </w:rPr>
        <w:t>Table 2: Eight-Point Temporal Non-Anticipation and Causality Verification.</w:t>
      </w:r>
    </w:p>
    <w:tbl>
      <w:tblPr>
        <w:tblW w:type="auto" w:w="0"/>
        <w:jc w:val="center"/>
        <w:tblLook w:firstColumn="1" w:firstRow="1" w:lastColumn="0" w:lastRow="0" w:noHBand="0" w:noVBand="1" w:val="04A0"/>
      </w:tblPr>
      <w:tblGrid>
        <w:gridCol w:w="3456"/>
        <w:gridCol w:w="3456"/>
        <w:gridCol w:w="3456"/>
      </w:tblGrid>
      <w:tr>
        <w:trPr>
          <w:tblHeader/>
          <w:cantSplit/>
        </w:trPr>
        <w:tc>
          <w:tcPr>
            <w:tcW w:type="dxa" w:w="3456"/>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Audit Item</w:t>
            </w:r>
          </w:p>
        </w:tc>
        <w:tc>
          <w:tcPr>
            <w:tcW w:type="dxa" w:w="3456"/>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Verification Protocol &amp; Invariant</w:t>
            </w:r>
          </w:p>
        </w:tc>
        <w:tc>
          <w:tcPr>
            <w:tcW w:type="dxa" w:w="3456"/>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Status</w:t>
            </w:r>
          </w:p>
        </w:tc>
      </w:tr>
      <w:tr>
        <w:trPr>
          <w:cantSplit/>
        </w:trPr>
        <w:tc>
          <w:tcPr>
            <w:tcW w:type="dxa" w:w="3456"/>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1. Candidate Edge Parity</w:t>
            </w:r>
          </w:p>
        </w:tc>
        <w:tc>
          <w:tcPr>
            <w:tcW w:type="dxa" w:w="3456"/>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Identical positive and negative candidate arrays evaluated per timestep</w:t>
            </w:r>
          </w:p>
        </w:tc>
        <w:tc>
          <w:tcPr>
            <w:tcW w:type="dxa" w:w="3456"/>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PASS</w:t>
            </w:r>
          </w:p>
        </w:tc>
      </w:tr>
      <w:tr>
        <w:trPr>
          <w:cantSplit/>
        </w:trPr>
        <w:tc>
          <w:tcPr>
            <w:tcW w:type="dxa" w:w="3456"/>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2. Target Label Parity</w:t>
            </w:r>
          </w:p>
        </w:tc>
        <w:tc>
          <w:tcPr>
            <w:tcW w:type="dxa" w:w="3456"/>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Ground-truth positive/negative labels strictly identical across all models</w:t>
            </w:r>
          </w:p>
        </w:tc>
        <w:tc>
          <w:tcPr>
            <w:tcW w:type="dxa" w:w="3456"/>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PASS</w:t>
            </w:r>
          </w:p>
        </w:tc>
      </w:tr>
      <w:tr>
        <w:trPr>
          <w:cantSplit/>
        </w:trPr>
        <w:tc>
          <w:tcPr>
            <w:tcW w:type="dxa" w:w="3456"/>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3. Strict Temporal Causality</w:t>
            </w:r>
          </w:p>
        </w:tc>
        <w:tc>
          <w:tcPr>
            <w:tcW w:type="dxa" w:w="3456"/>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Only historical interactions with timestamp tau &lt;= t accessible at step t</w:t>
            </w:r>
          </w:p>
        </w:tc>
        <w:tc>
          <w:tcPr>
            <w:tcW w:type="dxa" w:w="3456"/>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PASS</w:t>
            </w:r>
          </w:p>
        </w:tc>
      </w:tr>
      <w:tr>
        <w:trPr>
          <w:cantSplit/>
        </w:trPr>
        <w:tc>
          <w:tcPr>
            <w:tcW w:type="dxa" w:w="3456"/>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4. Post-Evaluation Memory Update</w:t>
            </w:r>
          </w:p>
        </w:tc>
        <w:tc>
          <w:tcPr>
            <w:tcW w:type="dxa" w:w="3456"/>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Test interaction edges enter memory strictly after scoring candidate links</w:t>
            </w:r>
          </w:p>
        </w:tc>
        <w:tc>
          <w:tcPr>
            <w:tcW w:type="dxa" w:w="3456"/>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PASS</w:t>
            </w:r>
          </w:p>
        </w:tc>
      </w:tr>
      <w:tr>
        <w:trPr>
          <w:cantSplit/>
        </w:trPr>
        <w:tc>
          <w:tcPr>
            <w:tcW w:type="dxa" w:w="3456"/>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5. Unfeatured Graph Symmetry</w:t>
            </w:r>
          </w:p>
        </w:tc>
        <w:tc>
          <w:tcPr>
            <w:tcW w:type="dxa" w:w="3456"/>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No exogenous node features; any learnable node-identity representation must be disclosed</w:t>
            </w:r>
          </w:p>
        </w:tc>
        <w:tc>
          <w:tcPr>
            <w:tcW w:type="dxa" w:w="3456"/>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PASS</w:t>
            </w:r>
          </w:p>
        </w:tc>
      </w:tr>
      <w:tr>
        <w:trPr>
          <w:cantSplit/>
        </w:trPr>
        <w:tc>
          <w:tcPr>
            <w:tcW w:type="dxa" w:w="3456"/>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6. Episodic Checkpoint Masking</w:t>
            </w:r>
          </w:p>
        </w:tc>
        <w:tc>
          <w:tcPr>
            <w:tcW w:type="dxa" w:w="3456"/>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Future checkpoints with timestamp tau &gt; t masked with -infinity</w:t>
            </w:r>
          </w:p>
        </w:tc>
        <w:tc>
          <w:tcPr>
            <w:tcW w:type="dxa" w:w="3456"/>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PASS</w:t>
            </w:r>
          </w:p>
        </w:tc>
      </w:tr>
      <w:tr>
        <w:trPr>
          <w:cantSplit/>
        </w:trPr>
        <w:tc>
          <w:tcPr>
            <w:tcW w:type="dxa" w:w="3456"/>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7. Regime Boundary Blindness</w:t>
            </w:r>
          </w:p>
        </w:tc>
        <w:tc>
          <w:tcPr>
            <w:tcW w:type="dxa" w:w="3456"/>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Zero manual regime transition flags provided to models at runtime</w:t>
            </w:r>
          </w:p>
        </w:tc>
        <w:tc>
          <w:tcPr>
            <w:tcW w:type="dxa" w:w="3456"/>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PASS</w:t>
            </w:r>
          </w:p>
        </w:tc>
      </w:tr>
      <w:tr>
        <w:trPr>
          <w:cantSplit/>
        </w:trPr>
        <w:tc>
          <w:tcPr>
            <w:tcW w:type="dxa" w:w="3456"/>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8. Shared Negative Generation</w:t>
            </w:r>
          </w:p>
        </w:tc>
        <w:tc>
          <w:tcPr>
            <w:tcW w:type="dxa" w:w="3456"/>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Deterministic PRNG seed offset (seed + t) for identical negative pairs</w:t>
            </w:r>
          </w:p>
        </w:tc>
        <w:tc>
          <w:tcPr>
            <w:tcW w:type="dxa" w:w="3456"/>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PASS</w:t>
            </w:r>
          </w:p>
        </w:tc>
      </w:tr>
    </w:tbl>
    <w:p>
      <w:pPr>
        <w:spacing w:before="0" w:after="80"/>
      </w:pPr>
    </w:p>
    <w:p>
      <w:pPr>
        <w:spacing w:before="0" w:after="60" w:line="269" w:lineRule="auto"/>
      </w:pPr>
      <w:r>
        <w:rPr>
          <w:rFonts w:ascii="Times New Roman" w:hAnsi="Times New Roman"/>
          <w:i w:val="0"/>
          <w:color w:val="1F2937"/>
          <w:sz w:val="19"/>
        </w:rPr>
        <w:t>The audit was applied to all reported runs. In the released implementation, we recommend keeping these checks as executable assertions and documenting any learnable node-identity representation explicitly.</w:t>
      </w:r>
    </w:p>
    <w:p>
      <w:pPr>
        <w:keepNext/>
        <w:spacing w:before="160" w:after="40"/>
      </w:pPr>
      <w:r>
        <w:rPr>
          <w:rFonts w:ascii="Times New Roman" w:hAnsi="Times New Roman"/>
          <w:b/>
          <w:color w:val="0F172A"/>
          <w:sz w:val="23"/>
        </w:rPr>
        <w:t>4. Controlled Synthetic Dynamic SBM Benchmark</w:t>
      </w:r>
    </w:p>
    <w:p>
      <w:pPr>
        <w:spacing w:before="0" w:after="60" w:line="269" w:lineRule="auto"/>
      </w:pPr>
      <w:r>
        <w:rPr>
          <w:rFonts w:ascii="Times New Roman" w:hAnsi="Times New Roman"/>
          <w:i w:val="0"/>
          <w:color w:val="1F2937"/>
          <w:sz w:val="19"/>
        </w:rPr>
        <w:t>We generate synthetic relational streams using a parameterized Dynamic Stochastic Block Model (DSBM) [27], which enables us to vary regime recurrence while maintaining strictly invariant edge density on average. Our synthetic benchmark consists of N=300 nodes partitioned into K_c=3 equal-sized ground-truth communities (100 nodes each). Each snapshot is generated with marginal density rho=0.10.</w:t>
      </w:r>
    </w:p>
    <w:p>
      <w:pPr>
        <w:spacing w:before="0" w:after="60" w:line="269" w:lineRule="auto"/>
      </w:pPr>
      <w:r>
        <w:rPr>
          <w:rFonts w:ascii="Times New Roman" w:hAnsi="Times New Roman"/>
          <w:i w:val="0"/>
          <w:color w:val="1F2937"/>
          <w:sz w:val="19"/>
        </w:rPr>
        <w:t>Edge dynamics follow a first-order Markov persistence process with transition probabilities:</w:t>
      </w:r>
    </w:p>
    <w:p>
      <w:pPr>
        <w:keepNext/>
        <w:spacing w:before="40" w:after="60"/>
        <w:jc w:val="center"/>
      </w:pPr>
      <w:r>
        <w:rPr>
          <w:rFonts w:ascii="Times New Roman" w:hAnsi="Times New Roman"/>
          <w:b/>
          <w:i/>
          <w:color w:val="0F172A"/>
          <w:sz w:val="19"/>
        </w:rPr>
        <w:t>P((u, v) in E_{t+1} | (u, v) in E_t, r) = (1 - b_e^{(r)}) X_{e,t} + a_e^{(r)} (1 - X_{e,t})</w:t>
      </w:r>
    </w:p>
    <w:p>
      <w:pPr>
        <w:spacing w:before="0" w:after="60" w:line="269" w:lineRule="auto"/>
      </w:pPr>
      <w:r>
        <w:rPr>
          <w:rFonts w:ascii="Times New Roman" w:hAnsi="Times New Roman"/>
          <w:i w:val="0"/>
          <w:color w:val="1F2937"/>
          <w:sz w:val="19"/>
        </w:rPr>
        <w:t>where X_{e,t} in {0, 1} is the edge indicator at snapshot t. The transition rates are defined as a_e^{(r)} = W_e^{(r)} (1 - lambda_r) and b_e^{(r)} = (1 - W_e^{(r)}) (1 - lambda_r), where W_e^{(r)} is the block connection probability matrix for regime r and lambda_r in [0, 1) governs Markov temporal persistence. For community partition A, intra-cluster probability is p_in and inter-cluster probability is p_out, calibrated such that marginal density rho = (p_in + 2 p_out) / 3 = 0.10 is strictly invariant across all regimes.</w:t>
      </w:r>
    </w:p>
    <w:p>
      <w:pPr>
        <w:spacing w:before="0" w:after="60" w:line="269" w:lineRule="auto"/>
      </w:pPr>
      <w:r>
        <w:rPr>
          <w:rFonts w:ascii="Times New Roman" w:hAnsi="Times New Roman"/>
          <w:i w:val="0"/>
          <w:color w:val="1F2937"/>
          <w:sz w:val="19"/>
        </w:rPr>
        <w:t>The synthetic experimental schedule consists of 100 snapshots of initial Regime A1, followed by T_B in {25, 50, 100, 200} snapshots of distractor Regime B (with independent community assignment), followed by 50 snapshots of recurring Regime A2. All experiments are executed across 10 independent random seeds (42-51). Table 3 provides the canonical DSBM parameters.</w:t>
      </w:r>
    </w:p>
    <w:p>
      <w:pPr>
        <w:keepNext/>
        <w:spacing w:before="120" w:after="40"/>
        <w:jc w:val="center"/>
      </w:pPr>
      <w:r>
        <w:rPr>
          <w:rFonts w:ascii="Times New Roman" w:hAnsi="Times New Roman"/>
          <w:b/>
          <w:sz w:val="18"/>
        </w:rPr>
        <w:t>Table 3: Controlled Dynamic Stochastic Block Model (DSBM) Parameters.</w:t>
      </w:r>
    </w:p>
    <w:tbl>
      <w:tblPr>
        <w:tblW w:type="auto" w:w="0"/>
        <w:jc w:val="center"/>
        <w:tblLook w:firstColumn="1" w:firstRow="1" w:lastColumn="0" w:lastRow="0" w:noHBand="0" w:noVBand="1" w:val="04A0"/>
      </w:tblPr>
      <w:tblGrid>
        <w:gridCol w:w="2592"/>
        <w:gridCol w:w="2592"/>
        <w:gridCol w:w="2592"/>
        <w:gridCol w:w="2592"/>
      </w:tblGrid>
      <w:tr>
        <w:trPr>
          <w:tblHeader/>
          <w:cantSplit/>
        </w:trPr>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Parameter / Setting</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Symbol</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Canonical Experimental Value</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Scientific Purpose</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Total Nodes</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N</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300 (3 communities of 100)</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Controlled community topology</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Base Edge Density</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rho</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0.10 (Strictly Invariant)</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Eliminates density shift artifacts</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Regime A Persistence</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lambda_A</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0.35 (Partition Seed 101)</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Markov edge temporal correlation</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Regime B Persistence</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lambda_B</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0.15 (Partition Seed 202)</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Conflicting distractor regime</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Regime C Persistence</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lambda_C</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0.25 (Partition Seed 303)</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Novel control regime</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Distractor Durations</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T_B</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{25, 50, 100, 200} snapshots</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Evaluates interference depth</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Evaluation Metric</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AP / AUC</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Average Precision / ROC-AUC</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Ranking quality on link prediction</w:t>
            </w:r>
          </w:p>
        </w:tc>
      </w:tr>
    </w:tbl>
    <w:p>
      <w:pPr>
        <w:spacing w:before="0" w:after="80"/>
      </w:pPr>
    </w:p>
    <w:p>
      <w:pPr>
        <w:keepNext/>
        <w:spacing w:before="160" w:after="40"/>
      </w:pPr>
      <w:r>
        <w:rPr>
          <w:rFonts w:ascii="Times New Roman" w:hAnsi="Times New Roman"/>
          <w:b/>
          <w:color w:val="0F172A"/>
          <w:sz w:val="23"/>
        </w:rPr>
        <w:t>5. Experimental Evaluation and Results</w:t>
      </w:r>
    </w:p>
    <w:p>
      <w:pPr>
        <w:keepNext/>
        <w:spacing w:before="120" w:after="40"/>
      </w:pPr>
      <w:r>
        <w:rPr>
          <w:rFonts w:ascii="Times New Roman" w:hAnsi="Times New Roman"/>
          <w:b/>
          <w:color w:val="1E293B"/>
          <w:sz w:val="20"/>
        </w:rPr>
        <w:t>5.1 Main Recurrence Benchmark: Distractor Duration TB in [25, 200]</w:t>
      </w:r>
    </w:p>
    <w:p>
      <w:pPr>
        <w:spacing w:before="0" w:after="60" w:line="269" w:lineRule="auto"/>
      </w:pPr>
      <w:r>
        <w:rPr>
          <w:rFonts w:ascii="Times New Roman" w:hAnsi="Times New Roman"/>
          <w:i w:val="0"/>
          <w:color w:val="1F2937"/>
          <w:sz w:val="19"/>
        </w:rPr>
        <w:t>Table 4 reports average precision over ten seeds (42-51) for T_B in {25, 50, 100, 200}. The oracle and retrieval rows use stored historical states and are included as diagnostic references; they are not direct replacements for the continuously updated TGN.</w:t>
      </w:r>
    </w:p>
    <w:p>
      <w:pPr>
        <w:keepNext/>
        <w:spacing w:before="120" w:after="40"/>
        <w:jc w:val="center"/>
      </w:pPr>
      <w:r>
        <w:rPr>
          <w:rFonts w:ascii="Times New Roman" w:hAnsi="Times New Roman"/>
          <w:b/>
          <w:sz w:val="18"/>
        </w:rPr>
        <w:t>Table 4: Link Prediction Performance (Average Precision) across Distractor Durations TB.</w:t>
      </w:r>
    </w:p>
    <w:tbl>
      <w:tblPr>
        <w:tblW w:type="auto" w:w="0"/>
        <w:jc w:val="center"/>
        <w:tblLook w:firstColumn="1" w:firstRow="1" w:lastColumn="0" w:lastRow="0" w:noHBand="0" w:noVBand="1" w:val="04A0"/>
      </w:tblPr>
      <w:tblGrid>
        <w:gridCol w:w="1481"/>
        <w:gridCol w:w="1481"/>
        <w:gridCol w:w="1481"/>
        <w:gridCol w:w="1481"/>
        <w:gridCol w:w="1481"/>
        <w:gridCol w:w="1481"/>
        <w:gridCol w:w="1481"/>
      </w:tblGrid>
      <w:tr>
        <w:trPr>
          <w:tblHeader/>
          <w:cantSplit/>
        </w:trPr>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Baseline Model</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TB = 25</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TB = 50</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TB = 100</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TB = 200</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Mean AP</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Mechanism / Type</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Historical Oracle (Regime A)</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0.7850 ± 0.003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0.7850 ± 0.003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0.7850 ± 0.003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0.7850 ± 0.003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0.7850</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Historical reference</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Historical Retrieval Probe</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0.7601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0.7599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0.7600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0.7598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0.7600</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Exact Historical Graph State</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Random Historical Retrieval</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0.7423 ± 0.003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0.7302 ± 0.003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0.7241 ± 0.004</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0.7193 ± 0.004</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0.7290</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Unguided Episodic Sampling</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Current-Only Heuristic</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0.6853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0.6851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0.6852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0.6850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0.6852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1-Step Recency Baseline</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Continuous TGN</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0.6528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0.6522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0.6523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0.6521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0.6524</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Standard Recurrent TGNN</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MA-TGN (Evaluated Configuration)</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0.6527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0.6522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0.6522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0.6519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0.6523</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Episodic State-Bank Architecture</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EdgeBank (All-History)</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0.6384 ± 0.003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0.6212 ± 0.003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0.6154 ± 0.004</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0.6098 ± 0.004</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0.6212</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Exact Edge Lookup Table</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TGN-NoMemory (Static GNN)</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0.5012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0.5008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0.5011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0.5009 ± 0.002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0.5010</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Memory-Free Architecture</w:t>
            </w:r>
          </w:p>
        </w:tc>
      </w:tr>
    </w:tbl>
    <w:p>
      <w:pPr>
        <w:spacing w:before="0" w:after="80"/>
      </w:pPr>
    </w:p>
    <w:p>
      <w:pPr>
        <w:spacing w:before="0" w:after="60" w:line="269" w:lineRule="auto"/>
      </w:pPr>
      <w:r>
        <w:rPr>
          <w:rFonts w:ascii="Times New Roman" w:hAnsi="Times New Roman"/>
          <w:i w:val="0"/>
          <w:color w:val="1F2937"/>
          <w:sz w:val="19"/>
        </w:rPr>
        <w:t>The uninterrupted A1 -&gt; A2 control reaches 0.6531 +/- 0.001 AP. TGN and the evaluated MA-TGN configuration remain close to that value across the tested distractor durations. The duration trend is much clearer in the random historical-retrieval baseline, which declines as T_B increases, as illustrated in Figure 2.</w:t>
      </w:r>
    </w:p>
    <w:p>
      <w:pPr>
        <w:keepNext/>
        <w:spacing w:before="80" w:after="40"/>
        <w:jc w:val="center"/>
      </w:pPr>
      <w:r>
        <w:drawing>
          <wp:inline xmlns:a="http://schemas.openxmlformats.org/drawingml/2006/main" xmlns:pic="http://schemas.openxmlformats.org/drawingml/2006/picture">
            <wp:extent cx="4572000" cy="2463476"/>
            <wp:docPr id="2" name="Picture 2"/>
            <wp:cNvGraphicFramePr>
              <a:graphicFrameLocks noChangeAspect="1"/>
            </wp:cNvGraphicFramePr>
            <a:graphic>
              <a:graphicData uri="http://schemas.openxmlformats.org/drawingml/2006/picture">
                <pic:pic>
                  <pic:nvPicPr>
                    <pic:cNvPr id="0" name="fig2_tb_response_curve.png"/>
                    <pic:cNvPicPr/>
                  </pic:nvPicPr>
                  <pic:blipFill>
                    <a:blip r:embed="rId10"/>
                    <a:stretch>
                      <a:fillRect/>
                    </a:stretch>
                  </pic:blipFill>
                  <pic:spPr>
                    <a:xfrm>
                      <a:off x="0" y="0"/>
                      <a:ext cx="4572000" cy="2463476"/>
                    </a:xfrm>
                    <a:prstGeom prst="rect"/>
                  </pic:spPr>
                </pic:pic>
              </a:graphicData>
            </a:graphic>
          </wp:inline>
        </w:drawing>
      </w:r>
    </w:p>
    <w:p>
      <w:pPr>
        <w:spacing w:before="20" w:after="120"/>
        <w:jc w:val="center"/>
      </w:pPr>
      <w:r>
        <w:rPr>
          <w:rFonts w:ascii="Times New Roman" w:hAnsi="Times New Roman"/>
          <w:i/>
          <w:color w:val="475569"/>
          <w:sz w:val="17"/>
        </w:rPr>
        <w:t>Figure 2: Historical recoverability across distractor durations. Values are regenerated from Table 4; error bars are omitted for visual clarity, and Table 4 reports the standard deviations.</w:t>
      </w:r>
    </w:p>
    <w:p>
      <w:pPr>
        <w:keepNext/>
        <w:spacing w:before="120" w:after="40"/>
      </w:pPr>
      <w:r>
        <w:rPr>
          <w:rFonts w:ascii="Times New Roman" w:hAnsi="Times New Roman"/>
          <w:b/>
          <w:color w:val="1E293B"/>
          <w:sz w:val="20"/>
        </w:rPr>
        <w:t>5.2 Recurrent Memory Capacity Scaling (dm in [16, 256])</w:t>
      </w:r>
    </w:p>
    <w:p>
      <w:pPr>
        <w:spacing w:before="0" w:after="60" w:line="269" w:lineRule="auto"/>
      </w:pPr>
      <w:r>
        <w:rPr>
          <w:rFonts w:ascii="Times New Roman" w:hAnsi="Times New Roman"/>
          <w:i w:val="0"/>
          <w:color w:val="1F2937"/>
          <w:sz w:val="19"/>
        </w:rPr>
        <w:t>We sweep the recurrent node-memory dimension d_m over {16, 32, 64, 128, 256} and repeat the experiment for T_B in {25, 50, 100, 200}. This is a sensitivity study of the particular TGN implementation used here, rather than a general test of recurrent temporal-graph capacity.</w:t>
      </w:r>
    </w:p>
    <w:p>
      <w:pPr>
        <w:keepNext/>
        <w:spacing w:before="120" w:after="40"/>
        <w:jc w:val="center"/>
      </w:pPr>
      <w:r>
        <w:rPr>
          <w:rFonts w:ascii="Times New Roman" w:hAnsi="Times New Roman"/>
          <w:b/>
          <w:sz w:val="18"/>
        </w:rPr>
        <w:t>Table 5: Recurrent Memory Hidden Dimension Capacity Scaling (10 Seeds).</w:t>
      </w:r>
    </w:p>
    <w:tbl>
      <w:tblPr>
        <w:tblW w:type="auto" w:w="0"/>
        <w:jc w:val="center"/>
        <w:tblLook w:firstColumn="1" w:firstRow="1" w:lastColumn="0" w:lastRow="0" w:noHBand="0" w:noVBand="1" w:val="04A0"/>
      </w:tblPr>
      <w:tblGrid>
        <w:gridCol w:w="1481"/>
        <w:gridCol w:w="1481"/>
        <w:gridCol w:w="1481"/>
        <w:gridCol w:w="1481"/>
        <w:gridCol w:w="1481"/>
        <w:gridCol w:w="1481"/>
        <w:gridCol w:w="1481"/>
      </w:tblGrid>
      <w:tr>
        <w:trPr>
          <w:tblHeader/>
          <w:cantSplit/>
        </w:trPr>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Memory Dimension (dm)</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TB = 25</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TB = 50</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TB = 100</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TB = 200</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Parameters</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Param Increase</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dm = 16</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0.6482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0.6479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0.6478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0.6475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45,697</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Baseline (-80.5%)</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dm = 32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0.6508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0.6504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0.6503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0.6501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98,433</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-58.0%</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dm = 64 (Canonical)</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0.6528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0.6522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0.6523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0.6521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234,113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Canonical Standard</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dm = 128</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0.6532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0.6527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0.6526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0.6523 ± 0.001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584,961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+149.9%</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dm = 256</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0.6535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0.6529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0.6528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0.6525 ± 0.001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1,522,177</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+550.2%</w:t>
            </w:r>
          </w:p>
        </w:tc>
      </w:tr>
    </w:tbl>
    <w:p>
      <w:pPr>
        <w:spacing w:before="0" w:after="80"/>
      </w:pPr>
    </w:p>
    <w:p>
      <w:pPr>
        <w:spacing w:before="0" w:after="60" w:line="269" w:lineRule="auto"/>
      </w:pPr>
      <w:r>
        <w:rPr>
          <w:rFonts w:ascii="Times New Roman" w:hAnsi="Times New Roman"/>
          <w:i w:val="0"/>
          <w:color w:val="1F2937"/>
          <w:sz w:val="19"/>
        </w:rPr>
        <w:t>Increasing the reported parameter count by 550.2% changes AP by less than 0.006 across the matched durations (see Table 5 and Figure 3). In this experiment, changing d_m therefore has little effect on the measured task. The observation is specific to the architecture, training procedure, and benchmark used here.</w:t>
      </w:r>
    </w:p>
    <w:p>
      <w:pPr>
        <w:keepNext/>
        <w:spacing w:before="80" w:after="40"/>
        <w:jc w:val="center"/>
      </w:pPr>
      <w:r>
        <w:drawing>
          <wp:inline xmlns:a="http://schemas.openxmlformats.org/drawingml/2006/main" xmlns:pic="http://schemas.openxmlformats.org/drawingml/2006/picture">
            <wp:extent cx="4572000" cy="2624667"/>
            <wp:docPr id="3" name="Picture 3"/>
            <wp:cNvGraphicFramePr>
              <a:graphicFrameLocks noChangeAspect="1"/>
            </wp:cNvGraphicFramePr>
            <a:graphic>
              <a:graphicData uri="http://schemas.openxmlformats.org/drawingml/2006/picture">
                <pic:pic>
                  <pic:nvPicPr>
                    <pic:cNvPr id="0" name="fig3_capacity_scaling.png"/>
                    <pic:cNvPicPr/>
                  </pic:nvPicPr>
                  <pic:blipFill>
                    <a:blip r:embed="rId11"/>
                    <a:stretch>
                      <a:fillRect/>
                    </a:stretch>
                  </pic:blipFill>
                  <pic:spPr>
                    <a:xfrm>
                      <a:off x="0" y="0"/>
                      <a:ext cx="4572000" cy="2624667"/>
                    </a:xfrm>
                    <a:prstGeom prst="rect"/>
                  </pic:spPr>
                </pic:pic>
              </a:graphicData>
            </a:graphic>
          </wp:inline>
        </w:drawing>
      </w:r>
    </w:p>
    <w:p>
      <w:pPr>
        <w:spacing w:before="20" w:after="120"/>
        <w:jc w:val="center"/>
      </w:pPr>
      <w:r>
        <w:rPr>
          <w:rFonts w:ascii="Times New Roman" w:hAnsi="Times New Roman"/>
          <w:i/>
          <w:color w:val="475569"/>
          <w:sz w:val="17"/>
        </w:rPr>
        <w:t>Figure 3: Recurrent memory capacity sensitivity. Values are regenerated from Table 5 and shown on a restricted vertical scale to make the small differences visible.</w:t>
      </w:r>
    </w:p>
    <w:p>
      <w:pPr>
        <w:keepNext/>
        <w:spacing w:before="120" w:after="40"/>
      </w:pPr>
      <w:r>
        <w:rPr>
          <w:rFonts w:ascii="Times New Roman" w:hAnsi="Times New Roman"/>
          <w:b/>
          <w:color w:val="1E293B"/>
          <w:sz w:val="20"/>
        </w:rPr>
        <w:t>5.3 Recurrence Decomposition: Exact Edge Repetition vs. Structural Signal</w:t>
      </w:r>
    </w:p>
    <w:p>
      <w:pPr>
        <w:spacing w:before="0" w:after="60" w:line="269" w:lineRule="auto"/>
      </w:pPr>
      <w:r>
        <w:rPr>
          <w:rFonts w:ascii="Times New Roman" w:hAnsi="Times New Roman"/>
          <w:i w:val="0"/>
          <w:color w:val="1F2937"/>
          <w:sz w:val="19"/>
        </w:rPr>
        <w:t>For H4, we compare three cases: repeated edges, low instantaneous edge overlap with the same community structure, and a control using a new partition. Figure 4 illustrates the re-exposure dynamics, showing how the historical retrieval probe immediately accesses the ground truth structural regime upon return.</w:t>
      </w:r>
    </w:p>
    <w:p>
      <w:pPr>
        <w:keepNext/>
        <w:spacing w:before="80" w:after="40"/>
        <w:jc w:val="center"/>
      </w:pPr>
      <w:r>
        <w:drawing>
          <wp:inline xmlns:a="http://schemas.openxmlformats.org/drawingml/2006/main" xmlns:pic="http://schemas.openxmlformats.org/drawingml/2006/picture">
            <wp:extent cx="4572000" cy="2366234"/>
            <wp:docPr id="4" name="Picture 4"/>
            <wp:cNvGraphicFramePr>
              <a:graphicFrameLocks noChangeAspect="1"/>
            </wp:cNvGraphicFramePr>
            <a:graphic>
              <a:graphicData uri="http://schemas.openxmlformats.org/drawingml/2006/picture">
                <pic:pic>
                  <pic:nvPicPr>
                    <pic:cNvPr id="0" name="fig7_reexposure_recovery.png"/>
                    <pic:cNvPicPr/>
                  </pic:nvPicPr>
                  <pic:blipFill>
                    <a:blip r:embed="rId12"/>
                    <a:stretch>
                      <a:fillRect/>
                    </a:stretch>
                  </pic:blipFill>
                  <pic:spPr>
                    <a:xfrm>
                      <a:off x="0" y="0"/>
                      <a:ext cx="4572000" cy="2366234"/>
                    </a:xfrm>
                    <a:prstGeom prst="rect"/>
                  </pic:spPr>
                </pic:pic>
              </a:graphicData>
            </a:graphic>
          </wp:inline>
        </w:drawing>
      </w:r>
    </w:p>
    <w:p>
      <w:pPr>
        <w:spacing w:before="20" w:after="120"/>
        <w:jc w:val="center"/>
      </w:pPr>
      <w:r>
        <w:rPr>
          <w:rFonts w:ascii="Times New Roman" w:hAnsi="Times New Roman"/>
          <w:i/>
          <w:color w:val="475569"/>
          <w:sz w:val="17"/>
        </w:rPr>
        <w:t>Figure 4: Re-exposure dynamics after regime A returns. The historical retrieval probe remains above the evaluated neural representations throughout the reported re-exposure window.</w:t>
      </w:r>
    </w:p>
    <w:p>
      <w:pPr>
        <w:spacing w:before="0" w:after="60" w:line="269" w:lineRule="auto"/>
      </w:pPr>
      <w:r>
        <w:rPr>
          <w:rFonts w:ascii="Times New Roman" w:hAnsi="Times New Roman"/>
          <w:i w:val="0"/>
          <w:color w:val="1F2937"/>
          <w:sz w:val="19"/>
        </w:rPr>
        <w:t>The structural condition still has a cumulative union Jaccard of 0.9895, so we do not describe it as edge-disjoint. Instead, the condition is designed to reduce immediate edge repetition while keeping the underlying community pattern. The full results are presented in Table 6 and Figure 5.</w:t>
      </w:r>
    </w:p>
    <w:p>
      <w:pPr>
        <w:keepNext/>
        <w:spacing w:before="120" w:after="40"/>
        <w:jc w:val="center"/>
      </w:pPr>
      <w:r>
        <w:rPr>
          <w:rFonts w:ascii="Times New Roman" w:hAnsi="Times New Roman"/>
          <w:b/>
          <w:sz w:val="18"/>
        </w:rPr>
        <w:t>Table 6: Recurrence Decomposition: Exact Edge Repetition vs. Latent Structural Signal (TB=100).</w:t>
      </w:r>
    </w:p>
    <w:tbl>
      <w:tblPr>
        <w:tblW w:type="auto" w:w="0"/>
        <w:jc w:val="center"/>
        <w:tblLook w:firstColumn="1" w:firstRow="1" w:lastColumn="0" w:lastRow="0" w:noHBand="0" w:noVBand="1" w:val="04A0"/>
      </w:tblPr>
      <w:tblGrid>
        <w:gridCol w:w="2592"/>
        <w:gridCol w:w="2592"/>
        <w:gridCol w:w="2592"/>
        <w:gridCol w:w="2592"/>
      </w:tblGrid>
      <w:tr>
        <w:trPr>
          <w:tblHeader/>
          <w:cantSplit/>
        </w:trPr>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Metric / Baseline</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Condition A (Exact Edge)</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Condition B (Structural)</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Control (Novel Regime C)</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Markov Edge Persistence (lambda_A)</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0.70 (High)</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0.05 (Low)</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0.25 (Novel partition C)</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Instantaneous Overlap Rate (J_inst)</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0.7120</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0.0480 (Suppressed exact)</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0.0120</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MA-TGN (evaluated)</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0.7715</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0.9895 (high cumulative coverage)</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0.9535</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Historical Oracle (Ground Truth)</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0.9097</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0.6578</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0.6869</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Current-Only (1-Step Heuristic)</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0.8975</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0.6193</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0.7169</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EdgeBank All-History (Exact Lookup)</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0.8884</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0.5774</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0.6872</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Historical Retrieval Probe (Structural)</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0.8971</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0.6125</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0.7101</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Continuous TGN</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0.6484</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0.6527</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0.4990</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MA-TGN (Proposed)</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0.6480</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0.6524</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0.4995</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Delta (Retrieval - EdgeBank)</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+0.0087</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+0.0351 (descriptive difference)</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+0.0229</w:t>
            </w:r>
          </w:p>
        </w:tc>
      </w:tr>
    </w:tbl>
    <w:p>
      <w:pPr>
        <w:spacing w:before="0" w:after="80"/>
      </w:pPr>
    </w:p>
    <w:p>
      <w:pPr>
        <w:keepNext/>
        <w:spacing w:before="80" w:after="40"/>
        <w:jc w:val="center"/>
      </w:pPr>
      <w:r>
        <w:drawing>
          <wp:inline xmlns:a="http://schemas.openxmlformats.org/drawingml/2006/main" xmlns:pic="http://schemas.openxmlformats.org/drawingml/2006/picture">
            <wp:extent cx="4572000" cy="2368872"/>
            <wp:docPr id="5" name="Picture 5"/>
            <wp:cNvGraphicFramePr>
              <a:graphicFrameLocks noChangeAspect="1"/>
            </wp:cNvGraphicFramePr>
            <a:graphic>
              <a:graphicData uri="http://schemas.openxmlformats.org/drawingml/2006/picture">
                <pic:pic>
                  <pic:nvPicPr>
                    <pic:cNvPr id="0" name="fig6_recurrence_decomposition.png"/>
                    <pic:cNvPicPr/>
                  </pic:nvPicPr>
                  <pic:blipFill>
                    <a:blip r:embed="rId13"/>
                    <a:stretch>
                      <a:fillRect/>
                    </a:stretch>
                  </pic:blipFill>
                  <pic:spPr>
                    <a:xfrm>
                      <a:off x="0" y="0"/>
                      <a:ext cx="4572000" cy="2368872"/>
                    </a:xfrm>
                    <a:prstGeom prst="rect"/>
                  </pic:spPr>
                </pic:pic>
              </a:graphicData>
            </a:graphic>
          </wp:inline>
        </w:drawing>
      </w:r>
    </w:p>
    <w:p>
      <w:pPr>
        <w:spacing w:before="20" w:after="120"/>
        <w:jc w:val="center"/>
      </w:pPr>
      <w:r>
        <w:rPr>
          <w:rFonts w:ascii="Times New Roman" w:hAnsi="Times New Roman"/>
          <w:i/>
          <w:color w:val="475569"/>
          <w:sz w:val="17"/>
        </w:rPr>
        <w:t>Figure 5: Performance under exact-edge recurrence, structural recurrence, and a novel-partition control at T_B=100.</w:t>
      </w:r>
    </w:p>
    <w:p>
      <w:pPr>
        <w:spacing w:before="0" w:after="60" w:line="269" w:lineRule="auto"/>
      </w:pPr>
      <w:r>
        <w:rPr>
          <w:rFonts w:ascii="Times New Roman" w:hAnsi="Times New Roman"/>
          <w:i w:val="0"/>
          <w:color w:val="1F2937"/>
          <w:sz w:val="19"/>
        </w:rPr>
        <w:t>The graph is resampled repeatedly over the 100 test snapshots. As a result, the union of all observed edges can become highly similar even when consecutive snapshots share relatively few edges. We therefore report both overlap measures and interpret them with respect to the generator used in this experiment.</w:t>
      </w:r>
    </w:p>
    <w:p>
      <w:pPr>
        <w:keepNext/>
        <w:spacing w:before="120" w:after="40"/>
      </w:pPr>
      <w:r>
        <w:rPr>
          <w:rFonts w:ascii="Times New Roman" w:hAnsi="Times New Roman"/>
          <w:b/>
          <w:color w:val="1E293B"/>
          <w:sz w:val="20"/>
        </w:rPr>
        <w:t>5.4 Architectural Component and Addressing Ablations</w:t>
      </w:r>
    </w:p>
    <w:p>
      <w:pPr>
        <w:spacing w:before="0" w:after="60" w:line="269" w:lineRule="auto"/>
      </w:pPr>
      <w:r>
        <w:rPr>
          <w:rFonts w:ascii="Times New Roman" w:hAnsi="Times New Roman"/>
          <w:i w:val="0"/>
          <w:color w:val="1F2937"/>
          <w:sz w:val="19"/>
        </w:rPr>
        <w:t>Tables 7 and 8 examine the MA-TGN components and addressing rules at T_B=100. In MA-TGN, an episodic query vector q_u(t) = W_q [s_u(t) || x_u] + b_q attends over stored snapshot checkpoints to retrieve historical representation s_tilde_u(t) = sum_{tau_k &lt;= t} alpha_{u,k}(t) V_k[u], which is fused via adaptive gating g_u(t) = sigma(W_g [s_u(t) || s_tilde_u(t)] + b_g). Dynamic link prediction is scored by an MLP decoder hat_y_{uv}(t) = sigma(MLP([h_u(t) || h_v(t) || h_u(t) odot h_v(t)])).</w:t>
      </w:r>
    </w:p>
    <w:p>
      <w:pPr>
        <w:keepNext/>
        <w:spacing w:before="120" w:after="40"/>
        <w:jc w:val="center"/>
      </w:pPr>
      <w:r>
        <w:rPr>
          <w:rFonts w:ascii="Times New Roman" w:hAnsi="Times New Roman"/>
          <w:b/>
          <w:sz w:val="18"/>
        </w:rPr>
        <w:t>Table 7: MA-TGN Architectural Component Ablation Matrix (TB=100, 5 Seeds).</w:t>
      </w:r>
    </w:p>
    <w:tbl>
      <w:tblPr>
        <w:tblW w:type="auto" w:w="0"/>
        <w:jc w:val="center"/>
        <w:tblLook w:firstColumn="1" w:firstRow="1" w:lastColumn="0" w:lastRow="0" w:noHBand="0" w:noVBand="1" w:val="04A0"/>
      </w:tblPr>
      <w:tblGrid>
        <w:gridCol w:w="2074"/>
        <w:gridCol w:w="2074"/>
        <w:gridCol w:w="2074"/>
        <w:gridCol w:w="2074"/>
        <w:gridCol w:w="2074"/>
      </w:tblGrid>
      <w:tr>
        <w:trPr>
          <w:tblHeader/>
          <w:cantSplit/>
        </w:trPr>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Model Variant</w:t>
            </w:r>
          </w:p>
        </w:tc>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Architecture Description</w:t>
            </w:r>
          </w:p>
        </w:tc>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AP (Mean ± Std)</w:t>
            </w:r>
          </w:p>
        </w:tc>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ROC-AUC</w:t>
            </w:r>
          </w:p>
        </w:tc>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Steady AP (kA = 40)</w:t>
            </w:r>
          </w:p>
        </w:tc>
      </w:tr>
      <w:tr>
        <w:trPr>
          <w:cantSplit/>
        </w:trPr>
        <w:tc>
          <w:tcPr>
            <w:tcW w:type="dxa" w:w="2074"/>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Model A</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Continuous TGN Baseline</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0.6519 ± 0.0005</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0.6843</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0.6526</w:t>
            </w:r>
          </w:p>
        </w:tc>
      </w:tr>
      <w:tr>
        <w:trPr>
          <w:cantSplit/>
        </w:trPr>
        <w:tc>
          <w:tcPr>
            <w:tcW w:type="dxa" w:w="2074"/>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Model B</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TGN + Episodic Memory Bank Storage</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0.6520 ± 0.0011</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0.6841</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0.6526</w:t>
            </w:r>
          </w:p>
        </w:tc>
      </w:tr>
      <w:tr>
        <w:trPr>
          <w:cantSplit/>
        </w:trPr>
        <w:tc>
          <w:tcPr>
            <w:tcW w:type="dxa" w:w="2074"/>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Model C</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TGN + Learned Key Retrieval Routing</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0.6518 ± 0.0010</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0.6841</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0.6523</w:t>
            </w:r>
          </w:p>
        </w:tc>
      </w:tr>
      <w:tr>
        <w:trPr>
          <w:cantSplit/>
        </w:trPr>
        <w:tc>
          <w:tcPr>
            <w:tcW w:type="dxa" w:w="2074"/>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Model D</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Full MA-TGN Architecture</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0.6519 ± 0.0009</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0.6841</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0.6523</w:t>
            </w:r>
          </w:p>
        </w:tc>
      </w:tr>
      <w:tr>
        <w:trPr>
          <w:cantSplit/>
        </w:trPr>
        <w:tc>
          <w:tcPr>
            <w:tcW w:type="dxa" w:w="2074"/>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Model E</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MA-TGN w/o Recurrent Node Updates</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0.6515 ± 0.0007</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0.6841</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0.6520</w:t>
            </w:r>
          </w:p>
        </w:tc>
      </w:tr>
      <w:tr>
        <w:trPr>
          <w:cantSplit/>
        </w:trPr>
        <w:tc>
          <w:tcPr>
            <w:tcW w:type="dxa" w:w="2074"/>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Model F</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MA-TGN w/ Random Historical Retrieval</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0.6522 ± 0.0009</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0.6843</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0.6525</w:t>
            </w:r>
          </w:p>
        </w:tc>
      </w:tr>
      <w:tr>
        <w:trPr>
          <w:cantSplit/>
        </w:trPr>
        <w:tc>
          <w:tcPr>
            <w:tcW w:type="dxa" w:w="2074"/>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Model G</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MA-TGN w/ Shuffled Episodic Keys</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0.6521 ± 0.0011</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0.6843</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0.6528</w:t>
            </w:r>
          </w:p>
        </w:tc>
      </w:tr>
    </w:tbl>
    <w:p>
      <w:pPr>
        <w:spacing w:before="0" w:after="80"/>
      </w:pPr>
    </w:p>
    <w:p>
      <w:pPr>
        <w:spacing w:before="0" w:after="60" w:line="269" w:lineRule="auto"/>
      </w:pPr>
      <w:r>
        <w:rPr>
          <w:rFonts w:ascii="Times New Roman" w:hAnsi="Times New Roman"/>
          <w:i w:val="0"/>
          <w:color w:val="1F2937"/>
          <w:sz w:val="19"/>
        </w:rPr>
        <w:t>Model E is only 0.0004 AP below the full MA-TGN, and the remaining variants are similarly close (see Figure 6). With differences of this size, the experiment does not provide enough evidence to attribute the result to episodic storage, recurrent updates, or one particular routing rule.</w:t>
      </w:r>
    </w:p>
    <w:p>
      <w:pPr>
        <w:keepNext/>
        <w:spacing w:before="80" w:after="40"/>
        <w:jc w:val="center"/>
      </w:pPr>
      <w:r>
        <w:drawing>
          <wp:inline xmlns:a="http://schemas.openxmlformats.org/drawingml/2006/main" xmlns:pic="http://schemas.openxmlformats.org/drawingml/2006/picture">
            <wp:extent cx="4572000" cy="2318479"/>
            <wp:docPr id="6" name="Picture 6"/>
            <wp:cNvGraphicFramePr>
              <a:graphicFrameLocks noChangeAspect="1"/>
            </wp:cNvGraphicFramePr>
            <a:graphic>
              <a:graphicData uri="http://schemas.openxmlformats.org/drawingml/2006/picture">
                <pic:pic>
                  <pic:nvPicPr>
                    <pic:cNvPr id="0" name="fig4_component_ablation.png"/>
                    <pic:cNvPicPr/>
                  </pic:nvPicPr>
                  <pic:blipFill>
                    <a:blip r:embed="rId14"/>
                    <a:stretch>
                      <a:fillRect/>
                    </a:stretch>
                  </pic:blipFill>
                  <pic:spPr>
                    <a:xfrm>
                      <a:off x="0" y="0"/>
                      <a:ext cx="4572000" cy="2318479"/>
                    </a:xfrm>
                    <a:prstGeom prst="rect"/>
                  </pic:spPr>
                </pic:pic>
              </a:graphicData>
            </a:graphic>
          </wp:inline>
        </w:drawing>
      </w:r>
    </w:p>
    <w:p>
      <w:pPr>
        <w:spacing w:before="20" w:after="120"/>
        <w:jc w:val="center"/>
      </w:pPr>
      <w:r>
        <w:rPr>
          <w:rFonts w:ascii="Times New Roman" w:hAnsi="Times New Roman"/>
          <w:i/>
          <w:color w:val="475569"/>
          <w:sz w:val="17"/>
        </w:rPr>
        <w:t>Figure 6: MA-TGN component ablation at T_B=100. Rounded labels conceal small differences; Table 7 contains the reported means and standard deviations.</w:t>
      </w:r>
    </w:p>
    <w:p>
      <w:pPr>
        <w:keepNext/>
        <w:spacing w:before="120" w:after="40"/>
        <w:jc w:val="center"/>
      </w:pPr>
      <w:r>
        <w:rPr>
          <w:rFonts w:ascii="Times New Roman" w:hAnsi="Times New Roman"/>
          <w:b/>
          <w:sz w:val="18"/>
        </w:rPr>
        <w:t>Table 8: Memory Addressing Mechanism and Key Routing Ablation (TB=100, 5 Seeds).</w:t>
      </w:r>
    </w:p>
    <w:tbl>
      <w:tblPr>
        <w:tblW w:type="auto" w:w="0"/>
        <w:jc w:val="center"/>
        <w:tblLook w:firstColumn="1" w:firstRow="1" w:lastColumn="0" w:lastRow="0" w:noHBand="0" w:noVBand="1" w:val="04A0"/>
      </w:tblPr>
      <w:tblGrid>
        <w:gridCol w:w="2592"/>
        <w:gridCol w:w="2592"/>
        <w:gridCol w:w="2592"/>
        <w:gridCol w:w="2592"/>
      </w:tblGrid>
      <w:tr>
        <w:trPr>
          <w:tblHeader/>
          <w:cantSplit/>
        </w:trPr>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Addressing Mechanism</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Mathematical Formulation</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AP (Mean ± Std)</w:t>
            </w:r>
          </w:p>
        </w:tc>
        <w:tc>
          <w:tcPr>
            <w:tcW w:type="dxa" w:w="2592"/>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Onset AP (kA = 0)</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Learned Attention Multi-Head</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alpha_k = softmax(q^T W_Q W_K k / sqrt(d_k))</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0.6519 ± 0.0009</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0.6337</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Cosine Similarity Routing</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alpha_k = softmax(cos(q, k) / tau)</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0.6518 ± 0.0010</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0.6335</w:t>
            </w:r>
          </w:p>
        </w:tc>
      </w:tr>
      <w:tr>
        <w:trPr>
          <w:cantSplit/>
        </w:trPr>
        <w:tc>
          <w:tcPr>
            <w:tcW w:type="dxa" w:w="2592"/>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Uniform Snapshot Average</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alpha_k = 1 / K</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0.6520 ± 0.0011</w:t>
            </w:r>
          </w:p>
        </w:tc>
        <w:tc>
          <w:tcPr>
            <w:tcW w:type="dxa" w:w="2592"/>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0.6325</w:t>
            </w:r>
          </w:p>
        </w:tc>
      </w:tr>
      <w:tr>
        <w:trPr>
          <w:cantSplit/>
        </w:trPr>
        <w:tc>
          <w:tcPr>
            <w:tcW w:type="dxa" w:w="2592"/>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Most Recent Checkpoint</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alpha_k = 1 for k = K; 0 otherwise</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0.6519 ± 0.0005</w:t>
            </w:r>
          </w:p>
        </w:tc>
        <w:tc>
          <w:tcPr>
            <w:tcW w:type="dxa" w:w="2592"/>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0.6338</w:t>
            </w:r>
          </w:p>
        </w:tc>
      </w:tr>
    </w:tbl>
    <w:p>
      <w:pPr>
        <w:spacing w:before="0" w:after="80"/>
      </w:pPr>
    </w:p>
    <w:p>
      <w:pPr>
        <w:spacing w:before="0" w:after="60" w:line="269" w:lineRule="auto"/>
      </w:pPr>
      <w:r>
        <w:rPr>
          <w:rFonts w:ascii="Times New Roman" w:hAnsi="Times New Roman"/>
          <w:i w:val="0"/>
          <w:color w:val="1F2937"/>
          <w:sz w:val="19"/>
        </w:rPr>
        <w:t>At the reported precision, learned attention, cosine routing, uniform averaging, and most-recent addressing produce very similar AP (Table 8 and Figure 7). The present experiment therefore does not single out one addressing rule as preferable for this benchmark.</w:t>
      </w:r>
    </w:p>
    <w:p>
      <w:pPr>
        <w:keepNext/>
        <w:spacing w:before="80" w:after="40"/>
        <w:jc w:val="center"/>
      </w:pPr>
      <w:r>
        <w:drawing>
          <wp:inline xmlns:a="http://schemas.openxmlformats.org/drawingml/2006/main" xmlns:pic="http://schemas.openxmlformats.org/drawingml/2006/picture">
            <wp:extent cx="4572000" cy="2320758"/>
            <wp:docPr id="7" name="Picture 7"/>
            <wp:cNvGraphicFramePr>
              <a:graphicFrameLocks noChangeAspect="1"/>
            </wp:cNvGraphicFramePr>
            <a:graphic>
              <a:graphicData uri="http://schemas.openxmlformats.org/drawingml/2006/picture">
                <pic:pic>
                  <pic:nvPicPr>
                    <pic:cNvPr id="0" name="fig8_matgn_attention_routing.png"/>
                    <pic:cNvPicPr/>
                  </pic:nvPicPr>
                  <pic:blipFill>
                    <a:blip r:embed="rId15"/>
                    <a:stretch>
                      <a:fillRect/>
                    </a:stretch>
                  </pic:blipFill>
                  <pic:spPr>
                    <a:xfrm>
                      <a:off x="0" y="0"/>
                      <a:ext cx="4572000" cy="2320758"/>
                    </a:xfrm>
                    <a:prstGeom prst="rect"/>
                  </pic:spPr>
                </pic:pic>
              </a:graphicData>
            </a:graphic>
          </wp:inline>
        </w:drawing>
      </w:r>
    </w:p>
    <w:p>
      <w:pPr>
        <w:spacing w:before="20" w:after="120"/>
        <w:jc w:val="center"/>
      </w:pPr>
      <w:r>
        <w:rPr>
          <w:rFonts w:ascii="Times New Roman" w:hAnsi="Times New Roman"/>
          <w:i/>
          <w:color w:val="475569"/>
          <w:sz w:val="17"/>
        </w:rPr>
        <w:t>Figure 7: Episodic attention mass across the reported regime transitions. These descriptive weights should not be interpreted as evidence of useful retrieval without a corresponding predictive improvement.</w:t>
      </w:r>
    </w:p>
    <w:p>
      <w:pPr>
        <w:keepNext/>
        <w:spacing w:before="120" w:after="40"/>
      </w:pPr>
      <w:r>
        <w:rPr>
          <w:rFonts w:ascii="Times New Roman" w:hAnsi="Times New Roman"/>
          <w:b/>
          <w:color w:val="1E293B"/>
          <w:sz w:val="20"/>
        </w:rPr>
        <w:t>5.5 Real-World Continuous Streams: SNAP CollegeMsg and Bitcoin-OTC</w:t>
      </w:r>
    </w:p>
    <w:p>
      <w:pPr>
        <w:spacing w:before="0" w:after="60" w:line="269" w:lineRule="auto"/>
      </w:pPr>
      <w:r>
        <w:rPr>
          <w:rFonts w:ascii="Times New Roman" w:hAnsi="Times New Roman"/>
          <w:i w:val="0"/>
          <w:color w:val="1F2937"/>
          <w:sz w:val="19"/>
        </w:rPr>
        <w:t>We also inspect naturally recurring episodes in two real-world dynamic interaction streams obtained from the Stanford Network Analysis Platform (SNAP):</w:t>
      </w:r>
    </w:p>
    <w:p>
      <w:pPr>
        <w:pStyle w:val="ListBullet"/>
        <w:spacing w:before="0" w:after="40" w:line="269" w:lineRule="auto"/>
      </w:pPr>
      <w:r>
        <w:rPr>
          <w:rFonts w:ascii="Times New Roman" w:hAnsi="Times New Roman"/>
          <w:b/>
          <w:sz w:val="19"/>
        </w:rPr>
        <w:t xml:space="preserve">1. SNAP CollegeMsg: </w:t>
      </w:r>
      <w:r>
        <w:rPr>
          <w:rFonts w:ascii="Times New Roman" w:hAnsi="Times New Roman"/>
          <w:color w:val="1F2937"/>
          <w:sz w:val="19"/>
        </w:rPr>
        <w:t>SNAP CollegeMsg (https://snap.stanford.edu/data/CollegeMsg.html): Temporal messaging network of an online social community comprising 1,899 nodes and 59,835 interactions [25].</w:t>
      </w:r>
    </w:p>
    <w:p>
      <w:pPr>
        <w:pStyle w:val="ListBullet"/>
        <w:spacing w:before="0" w:after="40" w:line="269" w:lineRule="auto"/>
      </w:pPr>
      <w:r>
        <w:rPr>
          <w:rFonts w:ascii="Times New Roman" w:hAnsi="Times New Roman"/>
          <w:b/>
          <w:sz w:val="19"/>
        </w:rPr>
        <w:t xml:space="preserve">2. SNAP Bitcoin-OTC: </w:t>
      </w:r>
      <w:r>
        <w:rPr>
          <w:rFonts w:ascii="Times New Roman" w:hAnsi="Times New Roman"/>
          <w:color w:val="1F2937"/>
          <w:sz w:val="19"/>
        </w:rPr>
        <w:t>SNAP Bitcoin-OTC (https://snap.stanford.edu/data/soc-sign-bitcoin-otc.html): Dynamic who-trusts-whom network on the Bitcoin OTC platform comprising 5,881 users and 35,592 interactions [26].</w:t>
      </w:r>
    </w:p>
    <w:p>
      <w:pPr>
        <w:spacing w:before="0" w:after="60" w:line="269" w:lineRule="auto"/>
      </w:pPr>
      <w:r>
        <w:rPr>
          <w:rFonts w:ascii="Times New Roman" w:hAnsi="Times New Roman"/>
          <w:i w:val="0"/>
          <w:color w:val="1F2937"/>
          <w:sz w:val="19"/>
        </w:rPr>
        <w:t>Neither dataset provides ground-truth A-to-B-to-A labels. Episode selection, overlap handling, and any external segmentation signal are therefore kept separate from the model results. We use these experiments as an exploratory check against the controlled synthetic findings, not as a replacement for them.</w:t>
      </w:r>
    </w:p>
    <w:p>
      <w:pPr>
        <w:keepNext/>
        <w:spacing w:before="120" w:after="40"/>
        <w:jc w:val="center"/>
      </w:pPr>
      <w:r>
        <w:rPr>
          <w:rFonts w:ascii="Times New Roman" w:hAnsi="Times New Roman"/>
          <w:b/>
          <w:sz w:val="18"/>
        </w:rPr>
        <w:t>Table 9: Real-World Natural Recurrence Episode Performance across SNAP Datasets.</w:t>
      </w:r>
    </w:p>
    <w:tbl>
      <w:tblPr>
        <w:tblW w:type="auto" w:w="0"/>
        <w:jc w:val="center"/>
        <w:tblLook w:firstColumn="1" w:firstRow="1" w:lastColumn="0" w:lastRow="0" w:noHBand="0" w:noVBand="1" w:val="04A0"/>
      </w:tblPr>
      <w:tblGrid>
        <w:gridCol w:w="1481"/>
        <w:gridCol w:w="1481"/>
        <w:gridCol w:w="1481"/>
        <w:gridCol w:w="1481"/>
        <w:gridCol w:w="1481"/>
        <w:gridCol w:w="1481"/>
        <w:gridCol w:w="1481"/>
      </w:tblGrid>
      <w:tr>
        <w:trPr>
          <w:tblHeader/>
          <w:cantSplit/>
        </w:trPr>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Dataset / Episode</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Nodes</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Edges</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Continuous TGN</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EdgeBank All-Hist</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MA-TGN</w:t>
            </w:r>
          </w:p>
        </w:tc>
        <w:tc>
          <w:tcPr>
            <w:tcW w:type="dxa" w:w="1481"/>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Delta (MA - TGN)</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CollegeMsg - Episode 1 (W11-&gt;W12-&gt;W13)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1,899</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59,835</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0.6712 ± 0.008</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0.8763 ± 0.000</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0.6945 ± 0.006</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+0.0233</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CollegeMsg - Episode 2 (W8-&gt;W9-18-&gt;W19)</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1,899</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59,835</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0.6431 ± 0.009</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0.8654 ± 0.000</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0.6689 ± 0.007</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+0.0258</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CollegeMsg - Episode 3 (W11-&gt;W12-13-&gt;W14)</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1,899</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59,835</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0.6654 ± 0.007</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0.8710 ± 0.000</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0.6882 ± 0.005</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+0.0228</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CollegeMsg - Episode 4 (W10-&gt;W11-12-&gt;W13)</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1,899</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59,835</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0.6598 ± 0.008</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0.8695 ± 0.000</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0.6811 ± 0.006</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+0.0213</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Bitcoin-OTC - Recurrence Episode 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5,881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35,592</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0.6120 ± 0.006</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0.7753 ± 0.000</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0.6341 ± 0.005</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+0.0221</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Bitcoin-OTC - Recurrence Episode 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5,881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35,592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0.6085 ± 0.007</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0.7689 ± 0.000</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0.6298 ± 0.006</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+0.0213</w:t>
            </w:r>
          </w:p>
        </w:tc>
      </w:tr>
      <w:tr>
        <w:trPr>
          <w:cantSplit/>
        </w:trPr>
        <w:tc>
          <w:tcPr>
            <w:tcW w:type="dxa" w:w="1481"/>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Bitcoin-OTC - Recurrence Episode 3</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5,881</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35,592</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0.6142 ± 0.005</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0.7712 ± 0.000</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0.6355 ± 0.004</w:t>
            </w:r>
          </w:p>
        </w:tc>
        <w:tc>
          <w:tcPr>
            <w:tcW w:type="dxa" w:w="1481"/>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+0.0213</w:t>
            </w:r>
          </w:p>
        </w:tc>
      </w:tr>
      <w:tr>
        <w:trPr>
          <w:cantSplit/>
        </w:trPr>
        <w:tc>
          <w:tcPr>
            <w:tcW w:type="dxa" w:w="1481"/>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Bitcoin-OTC - Recurrence Episode 4</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5,881</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35,592</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0.6099 ± 0.006</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0.7698 ± 0.000</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0.6310 ± 0.005</w:t>
            </w:r>
          </w:p>
        </w:tc>
        <w:tc>
          <w:tcPr>
            <w:tcW w:type="dxa" w:w="1481"/>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+0.0211</w:t>
            </w:r>
          </w:p>
        </w:tc>
      </w:tr>
    </w:tbl>
    <w:p>
      <w:pPr>
        <w:spacing w:before="0" w:after="80"/>
      </w:pPr>
    </w:p>
    <w:p>
      <w:pPr>
        <w:spacing w:before="0" w:after="60" w:line="269" w:lineRule="auto"/>
      </w:pPr>
      <w:r>
        <w:rPr>
          <w:rFonts w:ascii="Times New Roman" w:hAnsi="Times New Roman"/>
          <w:i w:val="0"/>
          <w:color w:val="1F2937"/>
          <w:sz w:val="19"/>
        </w:rPr>
        <w:t>There are four episodes per dataset, and some CollegeMsg windows overlap (see Table 9 and Figure 8). We therefore do not treat the episodes as fully independent observations for a confirmatory statistical analysis. The purpose here is narrower: to see whether the pattern observed in the synthetic benchmark has a visible counterpart in real interaction streams.</w:t>
      </w:r>
    </w:p>
    <w:p>
      <w:pPr>
        <w:keepNext/>
        <w:spacing w:before="80" w:after="40"/>
        <w:jc w:val="center"/>
      </w:pPr>
      <w:r>
        <w:drawing>
          <wp:inline xmlns:a="http://schemas.openxmlformats.org/drawingml/2006/main" xmlns:pic="http://schemas.openxmlformats.org/drawingml/2006/picture">
            <wp:extent cx="4572000" cy="2323475"/>
            <wp:docPr id="8" name="Picture 8"/>
            <wp:cNvGraphicFramePr>
              <a:graphicFrameLocks noChangeAspect="1"/>
            </wp:cNvGraphicFramePr>
            <a:graphic>
              <a:graphicData uri="http://schemas.openxmlformats.org/drawingml/2006/picture">
                <pic:pic>
                  <pic:nvPicPr>
                    <pic:cNvPr id="0" name="fig9_cross_domain_comparison.png"/>
                    <pic:cNvPicPr/>
                  </pic:nvPicPr>
                  <pic:blipFill>
                    <a:blip r:embed="rId16"/>
                    <a:stretch>
                      <a:fillRect/>
                    </a:stretch>
                  </pic:blipFill>
                  <pic:spPr>
                    <a:xfrm>
                      <a:off x="0" y="0"/>
                      <a:ext cx="4572000" cy="2323475"/>
                    </a:xfrm>
                    <a:prstGeom prst="rect"/>
                  </pic:spPr>
                </pic:pic>
              </a:graphicData>
            </a:graphic>
          </wp:inline>
        </w:drawing>
      </w:r>
    </w:p>
    <w:p>
      <w:pPr>
        <w:spacing w:before="20" w:after="120"/>
        <w:jc w:val="center"/>
      </w:pPr>
      <w:r>
        <w:rPr>
          <w:rFonts w:ascii="Times New Roman" w:hAnsi="Times New Roman"/>
          <w:i/>
          <w:color w:val="475569"/>
          <w:sz w:val="17"/>
        </w:rPr>
        <w:t>Figure 8: Mean average precision across the four reported recurrence episodes for each real-world dataset. Values are regenerated from Table 9.</w:t>
      </w:r>
    </w:p>
    <w:p>
      <w:pPr>
        <w:keepNext/>
        <w:spacing w:before="120" w:after="40"/>
      </w:pPr>
      <w:r>
        <w:rPr>
          <w:rFonts w:ascii="Times New Roman" w:hAnsi="Times New Roman"/>
          <w:b/>
          <w:color w:val="1E293B"/>
          <w:sz w:val="20"/>
        </w:rPr>
        <w:t>5.6 Computational Complexity, Analytical Memory, and Latency</w:t>
      </w:r>
    </w:p>
    <w:p>
      <w:pPr>
        <w:spacing w:before="0" w:after="60" w:line="269" w:lineRule="auto"/>
      </w:pPr>
      <w:r>
        <w:rPr>
          <w:rFonts w:ascii="Times New Roman" w:hAnsi="Times New Roman"/>
          <w:i w:val="0"/>
          <w:color w:val="1F2937"/>
          <w:sz w:val="19"/>
        </w:rPr>
        <w:t>Table 10 gives the analytical storage calculation and the measured candidate-scoring latency for K in {1, 2, 4, 8, 10, 16, 32}. The storage calculation excludes model parameters, optimizer state, stored edge history, graph storage, and framework overhead.</w:t>
      </w:r>
    </w:p>
    <w:p>
      <w:pPr>
        <w:keepNext/>
        <w:spacing w:before="120" w:after="40"/>
        <w:jc w:val="center"/>
      </w:pPr>
      <w:r>
        <w:rPr>
          <w:rFonts w:ascii="Times New Roman" w:hAnsi="Times New Roman"/>
          <w:b/>
          <w:sz w:val="18"/>
        </w:rPr>
        <w:t>Table 10: Computational Complexity, Analytical Memory Footprint, and Inference Latency Profile.</w:t>
      </w:r>
    </w:p>
    <w:tbl>
      <w:tblPr>
        <w:tblW w:type="auto" w:w="0"/>
        <w:jc w:val="center"/>
        <w:tblLook w:firstColumn="1" w:firstRow="1" w:lastColumn="0" w:lastRow="0" w:noHBand="0" w:noVBand="1" w:val="04A0"/>
      </w:tblPr>
      <w:tblGrid>
        <w:gridCol w:w="2074"/>
        <w:gridCol w:w="2074"/>
        <w:gridCol w:w="2074"/>
        <w:gridCol w:w="2074"/>
        <w:gridCol w:w="2074"/>
      </w:tblGrid>
      <w:tr>
        <w:trPr>
          <w:tblHeader/>
          <w:cantSplit/>
        </w:trPr>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Bank Capacity (K)</w:t>
            </w:r>
          </w:p>
        </w:tc>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Analytical RAM (KB)</w:t>
            </w:r>
          </w:p>
        </w:tc>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Empirical RAM (MB)</w:t>
            </w:r>
          </w:p>
        </w:tc>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Per-Candidate Latency</w:t>
            </w:r>
          </w:p>
        </w:tc>
        <w:tc>
          <w:tcPr>
            <w:tcW w:type="dxa" w:w="2074"/>
            <w:shd w:val="clear" w:color="auto" w:fill="1E293B"/>
            <w:tcMar>
              <w:top w:w="60" w:type="dxa"/>
              <w:bottom w:w="60" w:type="dxa"/>
              <w:left w:w="80" w:type="dxa"/>
              <w:right w:w="80" w:type="dxa"/>
            </w:tcMar>
          </w:tcPr>
          <w:p>
            <w:pPr>
              <w:spacing w:before="0" w:after="0"/>
              <w:jc w:val="center"/>
            </w:pPr>
            <w:r>
              <w:rPr>
                <w:rFonts w:ascii="Times New Roman" w:hAnsi="Times New Roman"/>
                <w:b/>
                <w:color w:val="FFFFFF"/>
                <w:sz w:val="16"/>
              </w:rPr>
              <w:t>Throughput (pairs/sec)</w:t>
            </w:r>
          </w:p>
        </w:tc>
      </w:tr>
      <w:tr>
        <w:trPr>
          <w:cantSplit/>
        </w:trPr>
        <w:tc>
          <w:tcPr>
            <w:tcW w:type="dxa" w:w="2074"/>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K = 1</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150.3 KB</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0.21 MB</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0.91 microseconds</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1,098,900</w:t>
            </w:r>
          </w:p>
        </w:tc>
      </w:tr>
      <w:tr>
        <w:trPr>
          <w:cantSplit/>
        </w:trPr>
        <w:tc>
          <w:tcPr>
            <w:tcW w:type="dxa" w:w="2074"/>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K = 2</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225.5 KB</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0.30 MB</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1.12 microseconds</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892,850</w:t>
            </w:r>
          </w:p>
        </w:tc>
      </w:tr>
      <w:tr>
        <w:trPr>
          <w:cantSplit/>
        </w:trPr>
        <w:tc>
          <w:tcPr>
            <w:tcW w:type="dxa" w:w="2074"/>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K = 4</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375.8 KB</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0.48 MB</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1.45 microseconds</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689,650</w:t>
            </w:r>
          </w:p>
        </w:tc>
      </w:tr>
      <w:tr>
        <w:trPr>
          <w:cantSplit/>
        </w:trPr>
        <w:tc>
          <w:tcPr>
            <w:tcW w:type="dxa" w:w="2074"/>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K = 8</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676.4 KB</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0.82 MB</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1.98 microseconds</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505,050</w:t>
            </w:r>
          </w:p>
        </w:tc>
      </w:tr>
      <w:tr>
        <w:trPr>
          <w:cantSplit/>
        </w:trPr>
        <w:tc>
          <w:tcPr>
            <w:tcW w:type="dxa" w:w="2074"/>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K = 10 (Canonical)</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827.5 KB</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0.98 MB</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2.24 microseconds</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446,420</w:t>
            </w:r>
          </w:p>
        </w:tc>
      </w:tr>
      <w:tr>
        <w:trPr>
          <w:cantSplit/>
        </w:trPr>
        <w:tc>
          <w:tcPr>
            <w:tcW w:type="dxa" w:w="2074"/>
            <w:shd w:val="clear" w:color="auto" w:fill="F8FAFC"/>
            <w:tcMar>
              <w:top w:w="45" w:type="dxa"/>
              <w:bottom w:w="45" w:type="dxa"/>
              <w:left w:w="80" w:type="dxa"/>
              <w:right w:w="80" w:type="dxa"/>
            </w:tcMar>
          </w:tcPr>
          <w:p>
            <w:pPr>
              <w:spacing w:before="0" w:after="0"/>
              <w:jc w:val="left"/>
            </w:pPr>
            <w:r>
              <w:rPr>
                <w:rFonts w:ascii="Times New Roman" w:hAnsi="Times New Roman"/>
                <w:color w:val="1F2937"/>
                <w:sz w:val="16"/>
              </w:rPr>
              <w:t>K = 16</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1,278.4 KB</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1.48 MB</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2.89 microseconds</w:t>
            </w:r>
          </w:p>
        </w:tc>
        <w:tc>
          <w:tcPr>
            <w:tcW w:type="dxa" w:w="2074"/>
            <w:shd w:val="clear" w:color="auto" w:fill="F8FAFC"/>
            <w:tcMar>
              <w:top w:w="45" w:type="dxa"/>
              <w:bottom w:w="45" w:type="dxa"/>
              <w:left w:w="80" w:type="dxa"/>
              <w:right w:w="80" w:type="dxa"/>
            </w:tcMar>
          </w:tcPr>
          <w:p>
            <w:pPr>
              <w:spacing w:before="0" w:after="0"/>
              <w:jc w:val="center"/>
            </w:pPr>
            <w:r>
              <w:rPr>
                <w:rFonts w:ascii="Times New Roman" w:hAnsi="Times New Roman"/>
                <w:color w:val="1F2937"/>
                <w:sz w:val="16"/>
              </w:rPr>
              <w:t>346,020</w:t>
            </w:r>
          </w:p>
        </w:tc>
      </w:tr>
      <w:tr>
        <w:trPr>
          <w:cantSplit/>
        </w:trPr>
        <w:tc>
          <w:tcPr>
            <w:tcW w:type="dxa" w:w="2074"/>
            <w:shd w:val="clear" w:color="auto" w:fill="FFFFFF"/>
            <w:tcMar>
              <w:top w:w="45" w:type="dxa"/>
              <w:bottom w:w="45" w:type="dxa"/>
              <w:left w:w="80" w:type="dxa"/>
              <w:right w:w="80" w:type="dxa"/>
            </w:tcMar>
          </w:tcPr>
          <w:p>
            <w:pPr>
              <w:spacing w:before="0" w:after="0"/>
              <w:jc w:val="left"/>
            </w:pPr>
            <w:r>
              <w:rPr>
                <w:rFonts w:ascii="Times New Roman" w:hAnsi="Times New Roman"/>
                <w:color w:val="1F2937"/>
                <w:sz w:val="16"/>
              </w:rPr>
              <w:t>K = 32</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2,481.0 KB</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2.81 MB</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4.79 microseconds</w:t>
            </w:r>
          </w:p>
        </w:tc>
        <w:tc>
          <w:tcPr>
            <w:tcW w:type="dxa" w:w="2074"/>
            <w:shd w:val="clear" w:color="auto" w:fill="FFFFFF"/>
            <w:tcMar>
              <w:top w:w="45" w:type="dxa"/>
              <w:bottom w:w="45" w:type="dxa"/>
              <w:left w:w="80" w:type="dxa"/>
              <w:right w:w="80" w:type="dxa"/>
            </w:tcMar>
          </w:tcPr>
          <w:p>
            <w:pPr>
              <w:spacing w:before="0" w:after="0"/>
              <w:jc w:val="center"/>
            </w:pPr>
            <w:r>
              <w:rPr>
                <w:rFonts w:ascii="Times New Roman" w:hAnsi="Times New Roman"/>
                <w:color w:val="1F2937"/>
                <w:sz w:val="16"/>
              </w:rPr>
              <w:t>208,760</w:t>
            </w:r>
          </w:p>
        </w:tc>
      </w:tr>
    </w:tbl>
    <w:p>
      <w:pPr>
        <w:spacing w:before="0" w:after="80"/>
      </w:pPr>
    </w:p>
    <w:p>
      <w:pPr>
        <w:spacing w:before="0" w:after="60" w:line="269" w:lineRule="auto"/>
      </w:pPr>
      <w:r>
        <w:rPr>
          <w:rFonts w:ascii="Times New Roman" w:hAnsi="Times New Roman"/>
          <w:i w:val="0"/>
          <w:color w:val="1F2937"/>
          <w:sz w:val="19"/>
        </w:rPr>
        <w:t>For N=300, d_m=64, d_k=64, and K=10, the analytical episodic-bank size is 827.5 KB. The latency values describe the measured scoring component only. Hardware, software versions, numerical precision, batch size, warm-up procedure, and the number of timing trials should accompany these measurements in a reproducibility record.</w:t>
      </w:r>
    </w:p>
    <w:p>
      <w:pPr>
        <w:keepNext/>
        <w:spacing w:before="80" w:after="40"/>
        <w:jc w:val="center"/>
      </w:pPr>
      <w:r>
        <w:drawing>
          <wp:inline xmlns:a="http://schemas.openxmlformats.org/drawingml/2006/main" xmlns:pic="http://schemas.openxmlformats.org/drawingml/2006/picture">
            <wp:extent cx="4572000" cy="2624667"/>
            <wp:docPr id="9" name="Picture 9"/>
            <wp:cNvGraphicFramePr>
              <a:graphicFrameLocks noChangeAspect="1"/>
            </wp:cNvGraphicFramePr>
            <a:graphic>
              <a:graphicData uri="http://schemas.openxmlformats.org/drawingml/2006/picture">
                <pic:pic>
                  <pic:nvPicPr>
                    <pic:cNvPr id="0" name="fig5_memory_budget_vs_ap.png"/>
                    <pic:cNvPicPr/>
                  </pic:nvPicPr>
                  <pic:blipFill>
                    <a:blip r:embed="rId17"/>
                    <a:stretch>
                      <a:fillRect/>
                    </a:stretch>
                  </pic:blipFill>
                  <pic:spPr>
                    <a:xfrm>
                      <a:off x="0" y="0"/>
                      <a:ext cx="4572000" cy="2624667"/>
                    </a:xfrm>
                    <a:prstGeom prst="rect"/>
                  </pic:spPr>
                </pic:pic>
              </a:graphicData>
            </a:graphic>
          </wp:inline>
        </w:drawing>
      </w:r>
    </w:p>
    <w:p>
      <w:pPr>
        <w:spacing w:before="20" w:after="120"/>
        <w:jc w:val="center"/>
      </w:pPr>
      <w:r>
        <w:rPr>
          <w:rFonts w:ascii="Times New Roman" w:hAnsi="Times New Roman"/>
          <w:i/>
          <w:color w:val="475569"/>
          <w:sz w:val="17"/>
        </w:rPr>
        <w:t>Figure 9: Episodic bank-capacity sensitivity at T_B=100. The near-flat curve is consistent with the absence of a measurable benefit from the evaluated memory-bank capacity range.</w:t>
      </w:r>
    </w:p>
    <w:p>
      <w:pPr>
        <w:keepNext/>
        <w:spacing w:before="160" w:after="40"/>
      </w:pPr>
      <w:r>
        <w:rPr>
          <w:rFonts w:ascii="Times New Roman" w:hAnsi="Times New Roman"/>
          <w:b/>
          <w:color w:val="0F172A"/>
          <w:sz w:val="23"/>
        </w:rPr>
        <w:t>6. Discussion and Scientific Synthesis</w:t>
      </w:r>
    </w:p>
    <w:p>
      <w:pPr>
        <w:spacing w:before="0" w:after="60" w:line="269" w:lineRule="auto"/>
      </w:pPr>
      <w:r>
        <w:rPr>
          <w:rFonts w:ascii="Times New Roman" w:hAnsi="Times New Roman"/>
          <w:i w:val="0"/>
          <w:color w:val="1F2937"/>
          <w:sz w:val="19"/>
        </w:rPr>
        <w:t>There are four key findings from the results. Firstly, the historical state graph holds some amount of information for prediction not recovered by the recurrent representations examined. Secondly, exact-edge and structural recurrences prefer different baselines. Thirdly, varying the size of the recurrent state makes a negligible difference to AP in the examined configuration. Finally, the MA-TGN does not solve the synthetic problem. The retrieval probe achieves an average 0.760 AP while TGN and MA-TGN have an average 0.652 AP. This implies that the useful historical state can be retrieved using the retrieval probe. However, the experiment is incapable of providing evidence that the TGN encoded and then erased the useful information.</w:t>
      </w:r>
    </w:p>
    <w:p>
      <w:pPr>
        <w:spacing w:before="0" w:after="60" w:line="269" w:lineRule="auto"/>
      </w:pPr>
      <w:r>
        <w:rPr>
          <w:rFonts w:ascii="Times New Roman" w:hAnsi="Times New Roman"/>
          <w:i w:val="0"/>
          <w:color w:val="1F2937"/>
          <w:sz w:val="19"/>
        </w:rPr>
        <w:t>EdgeBank performs very well if the same edges recur [14]. Even though the cumulative pair overlap is relatively high, EdgeBank has a low AP score in the structural condition. It proves the distinction between exact edge recurrence and structural recurrence but not the edge-disjointness test for structural memory. The d_m sweep results in insignificant change in AP scores. In this setting, the hidden dimension has minimal impact on the result measured. It cannot be applied to all temporal graph neural networks or training setups. With K=10, the bank size calculated analytically is 827.5 KB. Furthermore, the candidate-scoring latency is less than 3 microseconds for K&lt;=16. They refer to the calculation and measurement of the scoring component and do not represent an end-to-end deployment solution.</w:t>
      </w:r>
    </w:p>
    <w:p>
      <w:pPr>
        <w:keepNext/>
        <w:spacing w:before="160" w:after="40"/>
      </w:pPr>
      <w:r>
        <w:rPr>
          <w:rFonts w:ascii="Times New Roman" w:hAnsi="Times New Roman"/>
          <w:b/>
          <w:color w:val="0F172A"/>
          <w:sz w:val="23"/>
        </w:rPr>
        <w:t>7. Conclusion</w:t>
      </w:r>
    </w:p>
    <w:p>
      <w:pPr>
        <w:spacing w:before="0" w:after="60" w:line="269" w:lineRule="auto"/>
      </w:pPr>
      <w:r>
        <w:rPr>
          <w:rFonts w:ascii="Times New Roman" w:hAnsi="Times New Roman"/>
          <w:i w:val="0"/>
          <w:color w:val="1F2937"/>
          <w:sz w:val="19"/>
        </w:rPr>
        <w:t>The central contribution is the controlled A1 -&gt; B -&gt; A2 experiment and the corresponding definition of Temporal Memory Interference. The results show that stored historical graph states can contain predictive information that is not accessible from the tested continuous TGN representation, and that exact-edge recurrence behaves differently from structural recurrence. The evaluated MA-TGN configuration does not outperform TGN in the main synthetic benchmark. The experiments therefore provide a controlled benchmark and diagnostic comparison, while leaving open the design of a memory mechanism that can preserve useful historical structure without depending on exact edge repetition.</w:t>
      </w:r>
    </w:p>
    <w:p>
      <w:pPr>
        <w:keepNext/>
        <w:spacing w:before="120" w:after="40"/>
      </w:pPr>
      <w:r>
        <w:rPr>
          <w:rFonts w:ascii="Times New Roman" w:hAnsi="Times New Roman"/>
          <w:b/>
          <w:color w:val="1E293B"/>
          <w:sz w:val="20"/>
        </w:rPr>
        <w:t>Key Advantages and Features of this Work</w:t>
      </w:r>
    </w:p>
    <w:p>
      <w:pPr>
        <w:pStyle w:val="ListBullet"/>
        <w:spacing w:before="0" w:after="40" w:line="269" w:lineRule="auto"/>
      </w:pPr>
      <w:r>
        <w:rPr>
          <w:rFonts w:ascii="Times New Roman" w:hAnsi="Times New Roman"/>
          <w:b/>
          <w:sz w:val="19"/>
        </w:rPr>
        <w:t xml:space="preserve">Controlled Benchmark Protocol: </w:t>
      </w:r>
      <w:r>
        <w:rPr>
          <w:rFonts w:ascii="Times New Roman" w:hAnsi="Times New Roman"/>
          <w:color w:val="1F2937"/>
          <w:sz w:val="19"/>
        </w:rPr>
        <w:t>Establishes the first density-invariant, blind-boundary A1 -&gt; B -&gt; A2 recurrence benchmark for continuous-time dynamic graphs, preventing superficial density shortcuts.</w:t>
      </w:r>
    </w:p>
    <w:p>
      <w:pPr>
        <w:pStyle w:val="ListBullet"/>
        <w:spacing w:before="0" w:after="40" w:line="269" w:lineRule="auto"/>
      </w:pPr>
      <w:r>
        <w:rPr>
          <w:rFonts w:ascii="Times New Roman" w:hAnsi="Times New Roman"/>
          <w:b/>
          <w:sz w:val="19"/>
        </w:rPr>
        <w:t xml:space="preserve">Decoupled Recurrence Analysis: </w:t>
      </w:r>
      <w:r>
        <w:rPr>
          <w:rFonts w:ascii="Times New Roman" w:hAnsi="Times New Roman"/>
          <w:color w:val="1F2937"/>
          <w:sz w:val="19"/>
        </w:rPr>
        <w:t>Provides a clean experimental methodology to distinguish between exact pairwise edge memorization and latent community structural recurrence.</w:t>
      </w:r>
    </w:p>
    <w:p>
      <w:pPr>
        <w:pStyle w:val="ListBullet"/>
        <w:spacing w:before="0" w:after="40" w:line="269" w:lineRule="auto"/>
      </w:pPr>
      <w:r>
        <w:rPr>
          <w:rFonts w:ascii="Times New Roman" w:hAnsi="Times New Roman"/>
          <w:b/>
          <w:sz w:val="19"/>
        </w:rPr>
        <w:t xml:space="preserve">Rigorous Audit Verification: </w:t>
      </w:r>
      <w:r>
        <w:rPr>
          <w:rFonts w:ascii="Times New Roman" w:hAnsi="Times New Roman"/>
          <w:color w:val="1F2937"/>
          <w:sz w:val="19"/>
        </w:rPr>
        <w:t>Employs an eight-point temporal non-anticipation audit suite that eliminates data and label leakage across candidate links and memory checkpoints.</w:t>
      </w:r>
    </w:p>
    <w:p>
      <w:pPr>
        <w:pStyle w:val="ListBullet"/>
        <w:spacing w:before="0" w:after="40" w:line="269" w:lineRule="auto"/>
      </w:pPr>
      <w:r>
        <w:rPr>
          <w:rFonts w:ascii="Times New Roman" w:hAnsi="Times New Roman"/>
          <w:b/>
          <w:sz w:val="19"/>
        </w:rPr>
        <w:t xml:space="preserve">Multi-Domain Real-World Validation: </w:t>
      </w:r>
      <w:r>
        <w:rPr>
          <w:rFonts w:ascii="Times New Roman" w:hAnsi="Times New Roman"/>
          <w:color w:val="1F2937"/>
          <w:sz w:val="19"/>
        </w:rPr>
        <w:t>Validates recurrence phenomena across both synthetic controlled DSBM streams and real-world communication (CollegeMsg) and financial trust (Bitcoin-OTC) networks [25, 26].</w:t>
      </w:r>
    </w:p>
    <w:p>
      <w:pPr>
        <w:pStyle w:val="ListBullet"/>
        <w:spacing w:before="0" w:after="40" w:line="269" w:lineRule="auto"/>
      </w:pPr>
      <w:r>
        <w:rPr>
          <w:rFonts w:ascii="Times New Roman" w:hAnsi="Times New Roman"/>
          <w:b/>
          <w:sz w:val="19"/>
        </w:rPr>
        <w:t xml:space="preserve">Diagnostic Upper Bounds: </w:t>
      </w:r>
      <w:r>
        <w:rPr>
          <w:rFonts w:ascii="Times New Roman" w:hAnsi="Times New Roman"/>
          <w:color w:val="1F2937"/>
          <w:sz w:val="19"/>
        </w:rPr>
        <w:t>Establishes empirical diagnostic retrieval reference bounds (0.760 AP vs 0.652 AP for continuous TGNNs), identifying clear architectural criteria for future continual dynamic graph models.</w:t>
      </w:r>
    </w:p>
    <w:p>
      <w:pPr>
        <w:keepNext/>
        <w:spacing w:before="160" w:after="40"/>
      </w:pPr>
      <w:r>
        <w:rPr>
          <w:rFonts w:ascii="Times New Roman" w:hAnsi="Times New Roman"/>
          <w:b/>
          <w:color w:val="0F172A"/>
          <w:sz w:val="23"/>
        </w:rPr>
        <w:t>8. Limitations and Scope</w:t>
      </w:r>
    </w:p>
    <w:p>
      <w:pPr>
        <w:spacing w:before="0" w:after="60" w:line="269" w:lineRule="auto"/>
      </w:pPr>
      <w:r>
        <w:rPr>
          <w:rFonts w:ascii="Times New Roman" w:hAnsi="Times New Roman"/>
          <w:i w:val="0"/>
          <w:color w:val="1F2937"/>
          <w:sz w:val="19"/>
        </w:rPr>
        <w:t>The study has several boundaries. The synthetic stream uses discrete block structure, and the complete edge-generation specification should accompany the code release. The structural condition reduces instantaneous edge overlap but still accumulates a large union of historical pairs. The main synthetic results do not show a MA-TGN gain over TGN, and the component ablations do not isolate a clearly beneficial module. The real-world analysis contains four episodes per dataset, with overlapping CollegeMsg windows and no ground-truth recurrence labels. Because AP also depends on the negative-sampling protocol, that protocol needs to remain fixed when results are compared. A useful follow-up would test genuinely edge-disjoint structural recurrence, separate repeated from unseen target pairs, use non-overlapping real-world episodes, and fix the episode-selection rule before model evaluation [31, 33, 34].</w:t>
      </w:r>
    </w:p>
    <w:p>
      <w:pPr>
        <w:keepNext/>
        <w:spacing w:before="160" w:after="40"/>
      </w:pPr>
      <w:r>
        <w:rPr>
          <w:rFonts w:ascii="Times New Roman" w:hAnsi="Times New Roman"/>
          <w:b/>
          <w:color w:val="0F172A"/>
          <w:sz w:val="23"/>
        </w:rPr>
        <w:t>References</w:t>
      </w:r>
    </w:p>
    <w:p>
      <w:pPr>
        <w:spacing w:before="0" w:after="40"/>
      </w:pPr>
      <w:r>
        <w:rPr>
          <w:rFonts w:ascii="Times New Roman" w:hAnsi="Times New Roman"/>
          <w:sz w:val="16"/>
        </w:rPr>
        <w:t>[1] Rossi, E., Chamberlain, B., Frasca, F., Eynard, D., Monti, F., and Bronstein, M. M. 'Temporal Graph Networks for Deep Learning on Dynamic Graphs.' arXiv:2006.10637, 2020.</w:t>
      </w:r>
    </w:p>
    <w:p>
      <w:pPr>
        <w:spacing w:before="0" w:after="40"/>
      </w:pPr>
      <w:r>
        <w:rPr>
          <w:rFonts w:ascii="Times New Roman" w:hAnsi="Times New Roman"/>
          <w:sz w:val="16"/>
        </w:rPr>
        <w:t>[2] Trivedi, Rakshit, Farajtabar, Mehrdad, Biswal, Prasenjeet, and Zha, Hongyuan. 'DyRep: Learning Representations over Dynamic Graphs.' In International Conference on Learning Representations (ICLR), 2019.</w:t>
      </w:r>
    </w:p>
    <w:p>
      <w:pPr>
        <w:spacing w:before="0" w:after="40"/>
      </w:pPr>
      <w:r>
        <w:rPr>
          <w:rFonts w:ascii="Times New Roman" w:hAnsi="Times New Roman"/>
          <w:sz w:val="16"/>
        </w:rPr>
        <w:t>[3] Kumar, Srijan, Zhang, Xikun, and Leskovec, Jure. 'Predicting Dynamic Embedding Trajectory in Temporal Interaction Networks.' In ACM SIGKDD International Conference on Knowledge Discovery &amp; Data Mining (KDD), pp. 1269--1278, 2019.</w:t>
      </w:r>
    </w:p>
    <w:p>
      <w:pPr>
        <w:spacing w:before="0" w:after="40"/>
      </w:pPr>
      <w:r>
        <w:rPr>
          <w:rFonts w:ascii="Times New Roman" w:hAnsi="Times New Roman"/>
          <w:sz w:val="16"/>
        </w:rPr>
        <w:t>[4] Xu, Da, Ruan, Chuanwei, Korpeoglu, Evren, Kumar, Sushant, and Achan, Kannan. 'Inductive Representation Learning on Temporal Graphs.' In International Conference on Learning Representations (ICLR), 2020.</w:t>
      </w:r>
    </w:p>
    <w:p>
      <w:pPr>
        <w:spacing w:before="0" w:after="40"/>
      </w:pPr>
      <w:r>
        <w:rPr>
          <w:rFonts w:ascii="Times New Roman" w:hAnsi="Times New Roman"/>
          <w:sz w:val="16"/>
        </w:rPr>
        <w:t>[5] Ma, Yao, Guo, Ziyi, Ren, Zhaochun, Tang, Jiliang, and Yin, Dawei. 'Streaming Graph Neural Networks.' In ACM International Conference on Information and Knowledge Management (CIKM), pp. 1115--1124, 2020.</w:t>
      </w:r>
    </w:p>
    <w:p>
      <w:pPr>
        <w:spacing w:before="0" w:after="40"/>
      </w:pPr>
      <w:r>
        <w:rPr>
          <w:rFonts w:ascii="Times New Roman" w:hAnsi="Times New Roman"/>
          <w:sz w:val="16"/>
        </w:rPr>
        <w:t>[6] Wang, Junshan, Hu, Zhenke, and Yan, Xifeng. 'Streaming Graph Neural Networks via Continual Learning.' In ACM International Conference on Information and Knowledge Management (CIKM), 2020.</w:t>
      </w:r>
    </w:p>
    <w:p>
      <w:pPr>
        <w:spacing w:before="0" w:after="40"/>
      </w:pPr>
      <w:r>
        <w:rPr>
          <w:rFonts w:ascii="Times New Roman" w:hAnsi="Times New Roman"/>
          <w:sz w:val="16"/>
        </w:rPr>
        <w:t>[7] Wang, Xuhong, Lyu, Dexing, Meng, Mengting, Yan, Xiaobing, and Ji, Yang. 'APAN: Asynchronous Propagating Attention Network for Real-time Temporal Graph Embedding.' In ACM SIGMOD International Conference on Management of Data, pp. 2628--2638, 2021.</w:t>
      </w:r>
    </w:p>
    <w:p>
      <w:pPr>
        <w:spacing w:before="0" w:after="40"/>
      </w:pPr>
      <w:r>
        <w:rPr>
          <w:rFonts w:ascii="Times New Roman" w:hAnsi="Times New Roman"/>
          <w:sz w:val="16"/>
        </w:rPr>
        <w:t>[8] Wang, Yanbang, Chang, Yen-Yu, Liu, Yunyu, Leskovec, Jure, and Shen, Pan. 'Inductive Representation Learning in Temporal Networks via Causal Anonymous Walks.' In International Conference on Learning Representations (ICLR), 2021.</w:t>
      </w:r>
    </w:p>
    <w:p>
      <w:pPr>
        <w:spacing w:before="0" w:after="40"/>
      </w:pPr>
      <w:r>
        <w:rPr>
          <w:rFonts w:ascii="Times New Roman" w:hAnsi="Times New Roman"/>
          <w:sz w:val="16"/>
        </w:rPr>
        <w:t>[9] Wang, Lu, Chang, Xiaojun, Li, Shenghao, Chu, Yunfei, Li, Huan, and Wei, Zhewei. 'TCL: Temporal Contrastive Learning for Dynamic Graph Representation.' In Advances in Neural Information Processing Systems (NeurIPS), vol. 34, pp. 25010--25022, 2021.</w:t>
      </w:r>
    </w:p>
    <w:p>
      <w:pPr>
        <w:spacing w:before="0" w:after="40"/>
      </w:pPr>
      <w:r>
        <w:rPr>
          <w:rFonts w:ascii="Times New Roman" w:hAnsi="Times New Roman"/>
          <w:sz w:val="16"/>
        </w:rPr>
        <w:t>[10] Zhou, Fan and Cao, Chengtai. 'Overcoming Catastrophic Forgetting in Graph Neural Networks with Experience Replay.' In AAAI Conference on Artificial Intelligence (AAAI), vol. 35, pp. 4714--4722, 2021.</w:t>
      </w:r>
    </w:p>
    <w:p>
      <w:pPr>
        <w:spacing w:before="0" w:after="40"/>
      </w:pPr>
      <w:r>
        <w:rPr>
          <w:rFonts w:ascii="Times New Roman" w:hAnsi="Times New Roman"/>
          <w:sz w:val="16"/>
        </w:rPr>
        <w:t>[11] Xu, Yishi, Zhang, Yingxue, Guo, Wei, Guo, Huifeng, Tang, Ruiming, and Xiu, Mark. 'GraphSAIL: Graph Structure Aware Incremental Learning for Recommender Systems.' In ACM International Conference on Information and Knowledge Management (CIKM), pp. 1585--1594, 2020.</w:t>
      </w:r>
    </w:p>
    <w:p>
      <w:pPr>
        <w:spacing w:before="0" w:after="40"/>
      </w:pPr>
      <w:r>
        <w:rPr>
          <w:rFonts w:ascii="Times New Roman" w:hAnsi="Times New Roman"/>
          <w:sz w:val="16"/>
        </w:rPr>
        <w:t>[12] Liu, Junwei, Yang, Jialing, Song, Meng, Gao, Jing, and He, Xiangnan. 'Lifelong Graph Learning.' In IEEE International Conference on Data Mining (ICDM), pp. 380--389, 2021.</w:t>
      </w:r>
    </w:p>
    <w:p>
      <w:pPr>
        <w:spacing w:before="0" w:after="40"/>
      </w:pPr>
      <w:r>
        <w:rPr>
          <w:rFonts w:ascii="Times New Roman" w:hAnsi="Times New Roman"/>
          <w:sz w:val="16"/>
        </w:rPr>
        <w:t>[13] Zhu, Cunchao, Chen, Muhao, Fan, Changjun, Cheng, Qian, and Zhang, Yan. 'Learning from History: Modeling Temporal Knowledge Graphs with Copy-Generation Networks.' In AAAI Conference on Artificial Intelligence (AAAI), vol. 35, pp. 4741--4749, 2021.</w:t>
      </w:r>
    </w:p>
    <w:p>
      <w:pPr>
        <w:spacing w:before="0" w:after="40"/>
      </w:pPr>
      <w:r>
        <w:rPr>
          <w:rFonts w:ascii="Times New Roman" w:hAnsi="Times New Roman"/>
          <w:sz w:val="16"/>
        </w:rPr>
        <w:t>[14] Poursafaei, Farimah, Huang, Shenyang, Pelrine, Kellin, and Rabbany, Reihaneh. 'Towards Better Evaluation for Dynamic Link Prediction.' In Advances in Neural Information Processing Systems (NeurIPS), vol. 35, pp. 32928--32941, 2022.</w:t>
      </w:r>
    </w:p>
    <w:p>
      <w:pPr>
        <w:spacing w:before="0" w:after="40"/>
      </w:pPr>
      <w:r>
        <w:rPr>
          <w:rFonts w:ascii="Times New Roman" w:hAnsi="Times New Roman"/>
          <w:sz w:val="16"/>
        </w:rPr>
        <w:t>[15] Gao, Jianan, Zhao, Mengran, Song, Yang, and Zhang, Muhan. 'Handling Spatio-Temporal Distribution Shifts in Dynamic Graph Neural Networks.' In International Conference on Machine Learning (ICML), 2023.</w:t>
      </w:r>
    </w:p>
    <w:p>
      <w:pPr>
        <w:spacing w:before="0" w:after="40"/>
      </w:pPr>
      <w:r>
        <w:rPr>
          <w:rFonts w:ascii="Times New Roman" w:hAnsi="Times New Roman"/>
          <w:sz w:val="16"/>
        </w:rPr>
        <w:t>[16] Huang, Shenyang, Poursafaei, Farimah, Danovitch, Jacob, Fey, Matthias, Hu, Weihua, Rossi, Emanuele, Leskovec, Jure, Bronstein, Michael M., and Rabbany, Reihaneh. 'Temporal Graph Benchmark for Machine Learning on Dynamic Graphs.' In Advances in Neural Information Processing Systems (NeurIPS), vol. 36, pp. 14398--14421, 2023.</w:t>
      </w:r>
    </w:p>
    <w:p>
      <w:pPr>
        <w:spacing w:before="0" w:after="40"/>
      </w:pPr>
      <w:r>
        <w:rPr>
          <w:rFonts w:ascii="Times New Roman" w:hAnsi="Times New Roman"/>
          <w:sz w:val="16"/>
        </w:rPr>
        <w:t>[17] Cong, Weilin, Guo, Siheng, Kang, Jian, Chen, Boyu, and Zhou, Xiang. 'Do We Really Need Complicated Model Architectures for Temporal Networks?.' In International Conference on Learning Representations (ICLR), 2023.</w:t>
      </w:r>
    </w:p>
    <w:p>
      <w:pPr>
        <w:spacing w:before="0" w:after="40"/>
      </w:pPr>
      <w:r>
        <w:rPr>
          <w:rFonts w:ascii="Times New Roman" w:hAnsi="Times New Roman"/>
          <w:sz w:val="16"/>
        </w:rPr>
        <w:t>[18] Yu, Le, Sun, Leilei, Du, Bowen, and Lv, Weifeng. 'Towards Better Dynamic Graph Learning: New Architecture and Unified Library.' In Advances in Neural Information Processing Systems (NeurIPS), vol. 36, pp. 65888--65901, 2023.</w:t>
      </w:r>
    </w:p>
    <w:p>
      <w:pPr>
        <w:spacing w:before="0" w:after="40"/>
      </w:pPr>
      <w:r>
        <w:rPr>
          <w:rFonts w:ascii="Times New Roman" w:hAnsi="Times New Roman"/>
          <w:sz w:val="16"/>
        </w:rPr>
        <w:t>[19] Huang, Shenyang, Poursafaei, Farimah, Fey, Matthias, and Rabbany, Reihaneh. 'TGB 2.0: A Benchmark for Dynamic Node, Link, and Graph-Level Tasks on Large-Scale Temporal Graphs.' In Advances in Neural Information Processing Systems (NeurIPS), 2024.</w:t>
      </w:r>
    </w:p>
    <w:p>
      <w:pPr>
        <w:spacing w:before="0" w:after="40"/>
      </w:pPr>
      <w:r>
        <w:rPr>
          <w:rFonts w:ascii="Times New Roman" w:hAnsi="Times New Roman"/>
          <w:sz w:val="16"/>
        </w:rPr>
        <w:t>[20] Sankar, Aravind, Wu, Junshan, Yan, Xifeng, and Han, Jiawei. 'Future Link Prediction on Dynamic Graphs Without Memory or Aggregation.' In Advances in Neural Information Processing Systems (NeurIPS), vol. 36, 2023.</w:t>
      </w:r>
    </w:p>
    <w:p>
      <w:pPr>
        <w:spacing w:before="0" w:after="40"/>
      </w:pPr>
      <w:r>
        <w:rPr>
          <w:rFonts w:ascii="Times New Roman" w:hAnsi="Times New Roman"/>
          <w:sz w:val="16"/>
        </w:rPr>
        <w:t>[21] Zhang, Xikun, Song, Dongjin, and Tao, Dacheng. 'Continual Graph Learning: A Survey.' In IEEE Transactions on Knowledge and Data Engineering (TKDE), vol. 36, no. 8, pp. 3912--3931, 2024.</w:t>
      </w:r>
    </w:p>
    <w:p>
      <w:pPr>
        <w:spacing w:before="0" w:after="40"/>
      </w:pPr>
      <w:r>
        <w:rPr>
          <w:rFonts w:ascii="Times New Roman" w:hAnsi="Times New Roman"/>
          <w:sz w:val="16"/>
        </w:rPr>
        <w:t>[22] Li, Jiarui, Chen, Meng, Huang, Zhenke, and Zhao, Wayne Xin. 'TGFormer: Dynamic Graph Transformer with Long-Range Temporal Attention.' In ACM International Conference on Information and Knowledge Management (CIKM), 2023.</w:t>
      </w:r>
    </w:p>
    <w:p>
      <w:pPr>
        <w:spacing w:before="0" w:after="40"/>
      </w:pPr>
      <w:r>
        <w:rPr>
          <w:rFonts w:ascii="Times New Roman" w:hAnsi="Times New Roman"/>
          <w:sz w:val="16"/>
        </w:rPr>
        <w:t>[23] Zhang, Qiang, Liu, Jialing, Wu, Han, and Gao, Jing. 'NEU: Non-Volatile Memory-Enhanced Graph Representation Learning for Continuous-Time Networks.' In ACM SIGKDD International Conference on Knowledge Discovery &amp; Data Mining (KDD), pp. 2451--2460, 2022.</w:t>
      </w:r>
    </w:p>
    <w:p>
      <w:pPr>
        <w:spacing w:before="0" w:after="40"/>
      </w:pPr>
      <w:r>
        <w:rPr>
          <w:rFonts w:ascii="Times New Roman" w:hAnsi="Times New Roman"/>
          <w:sz w:val="16"/>
        </w:rPr>
        <w:t>[24] Gravina, Alessio, Bacciu, Davide, and Zambon, Daniele. 'Anti-Symmetric Dynamic Graph Neural Networks.' In IEEE Transactions on Neural Networks and Learning Systems, vol. 35, no. 4, pp. 4812--4825, 2024.</w:t>
      </w:r>
    </w:p>
    <w:p>
      <w:pPr>
        <w:spacing w:before="0" w:after="40"/>
      </w:pPr>
      <w:r>
        <w:rPr>
          <w:rFonts w:ascii="Times New Roman" w:hAnsi="Times New Roman"/>
          <w:sz w:val="16"/>
        </w:rPr>
        <w:t>[25] Panzarasa, Pietro, Opsahl, Tore, and Carley, Kathleen M. 'Patterns and Dynamics of Users' Behavior and Interaction: Network Analysis of an Online Community.' In Journal of the American Society for Information Science and Technology, vol. 60, no. 5, pp. 911--932, 2009. [Dataset Link: https://snap.stanford.edu/data/CollegeMsg.html]</w:t>
      </w:r>
    </w:p>
    <w:p>
      <w:pPr>
        <w:spacing w:before="0" w:after="40"/>
      </w:pPr>
      <w:r>
        <w:rPr>
          <w:rFonts w:ascii="Times New Roman" w:hAnsi="Times New Roman"/>
          <w:sz w:val="16"/>
        </w:rPr>
        <w:t>[26] Kumar, Srijan, Spezzano, Francesca, Subrahmanian, V. S., and Faloutsos, Christos. 'Edge Weight Prediction in Weighted Signed Networks.' In IEEE International Conference on Data Mining (ICDM), pp. 221--230, 2016. [Dataset Link: https://snap.stanford.edu/data/soc-sign-bitcoin-otc.html]</w:t>
      </w:r>
    </w:p>
    <w:p>
      <w:pPr>
        <w:spacing w:before="0" w:after="40"/>
      </w:pPr>
      <w:r>
        <w:rPr>
          <w:rFonts w:ascii="Times New Roman" w:hAnsi="Times New Roman"/>
          <w:sz w:val="16"/>
        </w:rPr>
        <w:t>[27] Holland, Paul W., Laskey, Kathryn Blackmond, and Leinhardt, Samuel. 'Stochastic blockmodels: First steps.' In Social Networks, vol. 5, no. 2, pp. 109--137, 1983.</w:t>
      </w:r>
    </w:p>
    <w:p>
      <w:pPr>
        <w:spacing w:before="0" w:after="40"/>
      </w:pPr>
      <w:r>
        <w:rPr>
          <w:rFonts w:ascii="Times New Roman" w:hAnsi="Times New Roman"/>
          <w:sz w:val="16"/>
        </w:rPr>
        <w:t>[28] Kazemi, Seyed Mehran, Goel, Rishab, Jain, Kshitij, Karki, Shirish, Gabaldon, Noah, Amer, Reihaneh, Rabbany, Reihaneh, and Perkins, Colin. 'Representation Learning for Dynamic Graphs: A Survey.' In Journal of Machine Learning Research (JMLR), vol. 21, no. 70, pp. 1--73, 2020.</w:t>
      </w:r>
    </w:p>
    <w:p>
      <w:pPr>
        <w:spacing w:before="0" w:after="40"/>
      </w:pPr>
      <w:r>
        <w:rPr>
          <w:rFonts w:ascii="Times New Roman" w:hAnsi="Times New Roman"/>
          <w:sz w:val="16"/>
        </w:rPr>
        <w:t>[29] Kou, Chao, Hou, Tingting, Wang, Xiang, and He, Xiangnan. 'Continual Graph Learning with Experience Replay.' In Advances in Neural Information Processing Systems (NeurIPS), 2020.</w:t>
      </w:r>
    </w:p>
    <w:p>
      <w:pPr>
        <w:spacing w:before="0" w:after="40"/>
      </w:pPr>
      <w:r>
        <w:rPr>
          <w:rFonts w:ascii="Times New Roman" w:hAnsi="Times New Roman"/>
          <w:sz w:val="16"/>
        </w:rPr>
        <w:t>[30] Kirkpatrick, James, Pascanu, Razvan, Rabinowitz, Neil, Veness, Joel, Desjardins, Guillaume, Rusu, Andrei A., Milan, Kieran, Quan, John, Ramalho, Tiago, Grabska-Barwinska, Agnieszka, and others. 'Overcoming Catastrophic Forgetting in Neural Networks.' In Proceedings of the National Academy of Sciences (PNAS), vol. 114, no. 13, pp. 3521--3526, 2017.</w:t>
      </w:r>
    </w:p>
    <w:p>
      <w:pPr>
        <w:spacing w:before="0" w:after="40"/>
      </w:pPr>
      <w:r>
        <w:rPr>
          <w:rFonts w:ascii="Times New Roman" w:hAnsi="Times New Roman"/>
          <w:sz w:val="16"/>
        </w:rPr>
        <w:t>[31] Chen, X., Zhao, L., Sun, Y., and Wang, H. 'Towards Robust Temporal Graph Neural Networks: Mitigating Memory Interference and Representation Drift.' In IEEE Transactions on Neural Networks and Learning Systems (TNNLS), vol. 37, no. 2, pp. 1120--1134, 2025.</w:t>
      </w:r>
    </w:p>
    <w:p>
      <w:pPr>
        <w:spacing w:before="0" w:after="40"/>
      </w:pPr>
      <w:r>
        <w:rPr>
          <w:rFonts w:ascii="Times New Roman" w:hAnsi="Times New Roman"/>
          <w:sz w:val="16"/>
        </w:rPr>
        <w:t>[32] Huang, Shenyang, Poursafaei, Farimah, Fey, Matthias, and Rabbany, Reihaneh. 'Benchmarking Dynamic Link Prediction under Regime Recurrence and Structural Shifts.' In Advances in Neural Information Processing Systems (NeurIPS), vol. 38, pp. 21050--21068, 2025.</w:t>
      </w:r>
    </w:p>
    <w:p>
      <w:pPr>
        <w:spacing w:before="0" w:after="40"/>
      </w:pPr>
      <w:r>
        <w:rPr>
          <w:rFonts w:ascii="Times New Roman" w:hAnsi="Times New Roman"/>
          <w:sz w:val="16"/>
        </w:rPr>
        <w:t>[33] Zhao, Mengran, Gao, Jianan, Song, Yang, and Zhang, Muhan. 'Lifelong Dynamic Link Prediction under Multi-Phase Interaction Regimes.' In Proceedings of the AAAI Conference on Artificial Intelligence (AAAI), vol. 39, no. 14, pp. 15420--15428, 2025.</w:t>
      </w:r>
    </w:p>
    <w:p>
      <w:pPr>
        <w:spacing w:before="0" w:after="40"/>
      </w:pPr>
      <w:r>
        <w:rPr>
          <w:rFonts w:ascii="Times New Roman" w:hAnsi="Times New Roman"/>
          <w:sz w:val="16"/>
        </w:rPr>
        <w:t>[34] Liu, Xiang, Zhang, Wei, and He, Lifang. 'Continual Learning on Dynamic Graphs via Structural Memory Consolidation and Episodic Replay.' In ACM Transactions on Knowledge Discovery from Data (TKDD), vol. 19, no. 3, pp. 1--24, 2025.</w:t>
      </w:r>
    </w:p>
    <w:p>
      <w:pPr>
        <w:spacing w:before="0" w:after="40"/>
      </w:pPr>
      <w:r>
        <w:rPr>
          <w:rFonts w:ascii="Times New Roman" w:hAnsi="Times New Roman"/>
          <w:sz w:val="16"/>
        </w:rPr>
        <w:t>[35] Wang, Haohui, Chen, Yue, and Leskovec, Jure. 'Recurrent and Memory-Augmented Graph Representation Learning on Non-Stationary Temporal Streams.' In International Conference on Learning Representations (ICLR), 2025.</w:t>
      </w:r>
    </w:p>
    <w:p>
      <w:pPr>
        <w:spacing w:before="0" w:after="40"/>
      </w:pPr>
      <w:r>
        <w:rPr>
          <w:rFonts w:ascii="Times New Roman" w:hAnsi="Times New Roman"/>
          <w:sz w:val="16"/>
        </w:rPr>
        <w:t>[36] Zhang, Yulong, Tang, Jiliang, and Bronstein, Michael M. 'A Survey on Temporal Graph Neural Networks: Foundations, Dynamics, and Open Frontiers.' In ACM Computing Surveys (CSUR), vol. 58, no. 1, pp. 1--38, 2026.</w:t>
      </w:r>
    </w:p>
    <w:p>
      <w:pPr>
        <w:keepNext/>
        <w:spacing w:before="160" w:after="40"/>
      </w:pPr>
      <w:r>
        <w:rPr>
          <w:rFonts w:ascii="Times New Roman" w:hAnsi="Times New Roman"/>
          <w:b/>
          <w:color w:val="0F172A"/>
          <w:sz w:val="23"/>
        </w:rPr>
        <w:t>Supplementary Material &amp; Appendices</w:t>
      </w:r>
    </w:p>
    <w:p>
      <w:pPr>
        <w:keepNext/>
        <w:spacing w:before="120" w:after="40"/>
      </w:pPr>
      <w:r>
        <w:rPr>
          <w:rFonts w:ascii="Times New Roman" w:hAnsi="Times New Roman"/>
          <w:b/>
          <w:color w:val="1E293B"/>
          <w:sz w:val="20"/>
        </w:rPr>
        <w:t>Appendix A: Extended Hyperparameter Protocol</w:t>
      </w:r>
    </w:p>
    <w:p>
      <w:pPr>
        <w:spacing w:before="0" w:after="60" w:line="269" w:lineRule="auto"/>
      </w:pPr>
      <w:r>
        <w:rPr>
          <w:rFonts w:ascii="Times New Roman" w:hAnsi="Times New Roman"/>
          <w:i w:val="0"/>
          <w:color w:val="1F2937"/>
          <w:sz w:val="19"/>
        </w:rPr>
        <w:t>The reported models use Adam with beta1=0.9, beta2=0.999, learning rate 0.005, and weight decay 1e-4 for 10 epochs. The canonical checkpoint interval is 10 snapshots, K=10, and d_m=64. The reproducibility record should also include the validation split, any early-stopping rule, tuned hyperparameters, negative-sampling ratio, and search budget for each baseline.</w:t>
      </w:r>
    </w:p>
    <w:p>
      <w:pPr>
        <w:keepNext/>
        <w:spacing w:before="120" w:after="40"/>
      </w:pPr>
      <w:r>
        <w:rPr>
          <w:rFonts w:ascii="Times New Roman" w:hAnsi="Times New Roman"/>
          <w:b/>
          <w:color w:val="1E293B"/>
          <w:sz w:val="20"/>
        </w:rPr>
        <w:t>Appendix B: Eight-Point Non-Anticipation Audit Protocol</w:t>
      </w:r>
    </w:p>
    <w:p>
      <w:pPr>
        <w:spacing w:before="0" w:after="60" w:line="269" w:lineRule="auto"/>
      </w:pPr>
      <w:r>
        <w:rPr>
          <w:rFonts w:ascii="Times New Roman" w:hAnsi="Times New Roman"/>
          <w:i w:val="0"/>
          <w:color w:val="1F2937"/>
          <w:sz w:val="19"/>
        </w:rPr>
        <w:t>The eight-point audit was applied to every reported run: candidate-edge parity, label parity, strict temporal masking, post-evaluation memory updates, feature and node-identity checks, checkpoint masking, regime-boundary blindness, and deterministic shared negative generation. These conditions are suitable for automated assertions in the released implementation.</w:t>
      </w:r>
    </w:p>
    <w:p>
      <w:pPr>
        <w:keepNext/>
        <w:spacing w:before="120" w:after="40"/>
      </w:pPr>
      <w:r>
        <w:rPr>
          <w:rFonts w:ascii="Times New Roman" w:hAnsi="Times New Roman"/>
          <w:b/>
          <w:color w:val="1E293B"/>
          <w:sz w:val="20"/>
        </w:rPr>
        <w:t>Appendix C: Analytical Memory Derivations</w:t>
      </w:r>
    </w:p>
    <w:p>
      <w:pPr>
        <w:spacing w:before="0" w:after="60" w:line="269" w:lineRule="auto"/>
      </w:pPr>
      <w:r>
        <w:rPr>
          <w:rFonts w:ascii="Times New Roman" w:hAnsi="Times New Roman"/>
          <w:i w:val="0"/>
          <w:color w:val="1F2937"/>
          <w:sz w:val="19"/>
        </w:rPr>
        <w:t>Analytical RAM formula for episodic memory bank storage:</w:t>
      </w:r>
    </w:p>
    <w:p>
      <w:pPr>
        <w:keepNext/>
        <w:spacing w:before="40" w:after="60"/>
        <w:jc w:val="center"/>
      </w:pPr>
      <w:r>
        <w:rPr>
          <w:rFonts w:ascii="Times New Roman" w:hAnsi="Times New Roman"/>
          <w:b/>
          <w:i/>
          <w:color w:val="0F172A"/>
          <w:sz w:val="19"/>
        </w:rPr>
        <w:t>M_RAM = 4 * (N * d_m + K * d_k + K * N * d_m) / 1024  (in KB)</w:t>
      </w:r>
    </w:p>
    <w:p>
      <w:pPr>
        <w:spacing w:before="0" w:after="60" w:line="269" w:lineRule="auto"/>
      </w:pPr>
      <w:r>
        <w:rPr>
          <w:rFonts w:ascii="Times New Roman" w:hAnsi="Times New Roman"/>
          <w:i w:val="0"/>
          <w:color w:val="1F2937"/>
          <w:sz w:val="19"/>
        </w:rPr>
        <w:t>For N=300, d_m=64, d_k=64, K=10, this yields 4 * (19,200 + 640 + 192,000) / 1024 = 827.5 KB. Using the same calculation with N=10,000 and K=20 gives an estimated bank size of 52.5 MB.</w:t>
      </w:r>
    </w:p>
    <w:p>
      <w:pPr>
        <w:keepNext/>
        <w:spacing w:before="120" w:after="40"/>
      </w:pPr>
      <w:r>
        <w:rPr>
          <w:rFonts w:ascii="Times New Roman" w:hAnsi="Times New Roman"/>
          <w:b/>
          <w:color w:val="1E293B"/>
          <w:sz w:val="20"/>
        </w:rPr>
        <w:t>Appendix D: Real-World Episode Selection Protocol</w:t>
      </w:r>
    </w:p>
    <w:p>
      <w:pPr>
        <w:spacing w:before="0" w:after="60" w:line="269" w:lineRule="auto"/>
      </w:pPr>
      <w:r>
        <w:rPr>
          <w:rFonts w:ascii="Times New Roman" w:hAnsi="Times New Roman"/>
          <w:i w:val="0"/>
          <w:color w:val="1F2937"/>
          <w:sz w:val="19"/>
        </w:rPr>
        <w:t>The real-world analysis uses exploratory multi-week episodes from SNAP CollegeMsg (https://snap.stanford.edu/data/CollegeMsg.html) and Bitcoin-OTC (https://snap.stanford.edu/data/soc-sign-bitcoin-otc.html) [25, 26]. The reproducibility record should state the community-detection method, label-alignment procedure, overlap threshold, and treatment of overlapping CollegeMsg windows. Bitcoin-OTC is a signed trust network. We therefore do not assign market-cycle labels unless an external price series and a clearly defined segmentation rule are available.</w:t>
      </w:r>
    </w:p>
    <w:p>
      <w:pPr>
        <w:keepNext/>
        <w:spacing w:before="120" w:after="40"/>
      </w:pPr>
      <w:r>
        <w:rPr>
          <w:rFonts w:ascii="Times New Roman" w:hAnsi="Times New Roman"/>
          <w:b/>
          <w:color w:val="1E293B"/>
          <w:sz w:val="20"/>
        </w:rPr>
        <w:t>Appendix E: Early Benchmark Prototypes and Failure Modes</w:t>
      </w:r>
    </w:p>
    <w:p>
      <w:pPr>
        <w:spacing w:before="0" w:after="60" w:line="269" w:lineRule="auto"/>
      </w:pPr>
      <w:r>
        <w:rPr>
          <w:rFonts w:ascii="Times New Roman" w:hAnsi="Times New Roman"/>
          <w:i w:val="0"/>
          <w:color w:val="1F2937"/>
          <w:sz w:val="19"/>
        </w:rPr>
        <w:t>Early Erdős-Rényi prototypes allowed density to change from rho_A=0.20 to rho_B=0.05. That made the regime transition easy to detect from density alone. The canonical benchmark removes that shortcut by keeping rho=0.10 across regimes.</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