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11827"/>
          <w:sz w:val="34"/>
        </w:rPr>
        <w:t>Characterizing Temporal Memory Interference in Dynamic Graph Neural Networks under Recurring Interaction Regimes</w:t>
      </w:r>
    </w:p>
    <w:tbl>
      <w:tblPr>
        <w:tblW w:type="auto" w:w="0"/>
        <w:jc w:val="center"/>
        <w:tblLook w:firstColumn="1" w:firstRow="1" w:lastColumn="0" w:lastRow="0" w:noHBand="0" w:noVBand="1" w:val="04A0"/>
      </w:tblPr>
      <w:tblGrid>
        <w:gridCol w:w="5184"/>
        <w:gridCol w:w="5184"/>
      </w:tblGrid>
      <w:tr>
        <w:trPr>
          <w:cantSplit/>
        </w:trPr>
        <w:tc>
          <w:tcPr>
            <w:tcW w:type="dxa" w:w="5184"/>
          </w:tcPr>
          <w:p>
            <w:pPr>
              <w:spacing w:before="0" w:after="80"/>
              <w:jc w:val="center"/>
            </w:pPr>
            <w:r>
              <w:rPr>
                <w:rFonts w:ascii="Times New Roman" w:hAnsi="Times New Roman"/>
                <w:b/>
                <w:sz w:val="20"/>
              </w:rPr>
              <w:t>Pavan Aksshay P</w:t>
              <w:br/>
            </w:r>
            <w:r>
              <w:rPr>
                <w:rFonts w:ascii="Times New Roman" w:hAnsi="Times New Roman"/>
                <w:i/>
                <w:sz w:val="18"/>
              </w:rPr>
              <w:t>Dept. of Computer Science &amp; Engineering</w:t>
              <w:br/>
              <w:t>Manipal Institute of Technology Bengaluru</w:t>
              <w:br/>
              <w:t>Manipal Academy of Higher Education</w:t>
              <w:br/>
              <w:t>Manipal, India</w:t>
              <w:br/>
            </w:r>
            <w:r>
              <w:rPr>
                <w:rFonts w:ascii="Times New Roman" w:hAnsi="Times New Roman"/>
                <w:color w:val="2563EB"/>
                <w:sz w:val="18"/>
              </w:rPr>
              <w:t>pavan.mitblr2024@learner.manipal.edu</w:t>
            </w:r>
          </w:p>
        </w:tc>
        <w:tc>
          <w:tcPr>
            <w:tcW w:type="dxa" w:w="5184"/>
          </w:tcPr>
          <w:p>
            <w:pPr>
              <w:spacing w:before="0" w:after="80"/>
              <w:jc w:val="center"/>
            </w:pPr>
            <w:r>
              <w:rPr>
                <w:rFonts w:ascii="Times New Roman" w:hAnsi="Times New Roman"/>
                <w:b/>
                <w:sz w:val="20"/>
              </w:rPr>
              <w:t>Dr. Deepak Sethi</w:t>
              <w:br/>
            </w:r>
            <w:r>
              <w:rPr>
                <w:rFonts w:ascii="Times New Roman" w:hAnsi="Times New Roman"/>
                <w:i/>
                <w:sz w:val="18"/>
              </w:rPr>
              <w:t>Dept. of Computer Science &amp; Engineering</w:t>
              <w:br/>
              <w:t>Manipal Institute of Technology Bengaluru</w:t>
              <w:br/>
              <w:t>Manipal Academy of Higher Education</w:t>
              <w:br/>
              <w:t>Manipal, India</w:t>
              <w:br/>
            </w:r>
            <w:r>
              <w:rPr>
                <w:rFonts w:ascii="Times New Roman" w:hAnsi="Times New Roman"/>
                <w:color w:val="2563EB"/>
                <w:sz w:val="18"/>
              </w:rPr>
              <w:t>deepak.sethi@manipal.edu</w:t>
            </w:r>
          </w:p>
        </w:tc>
      </w:tr>
    </w:tbl>
    <w:p>
      <w:pPr>
        <w:spacing w:before="0" w:after="120"/>
      </w:pPr>
    </w:p>
    <w:p>
      <w:pPr>
        <w:keepNext/>
        <w:spacing w:before="160" w:after="40"/>
      </w:pPr>
      <w:r>
        <w:rPr>
          <w:rFonts w:ascii="Times New Roman" w:hAnsi="Times New Roman"/>
          <w:b/>
          <w:color w:val="0F172A"/>
          <w:sz w:val="23"/>
        </w:rPr>
        <w:t>Abstract</w:t>
      </w:r>
    </w:p>
    <w:p>
      <w:pPr>
        <w:spacing w:before="0" w:after="60" w:line="269" w:lineRule="auto"/>
      </w:pPr>
      <w:r>
        <w:rPr>
          <w:rFonts w:ascii="Times New Roman" w:hAnsi="Times New Roman"/>
          <w:i w:val="0"/>
          <w:color w:val="1F2937"/>
          <w:sz w:val="19"/>
        </w:rPr>
        <w:t>Continuous-time temporal graph neural networks keep evolving node states while processing an interaction stream. In this work, we focus on a more specific question: when a graph returns to an earlier interaction regime after a conflicting period, how much of the earlier signal or information can be recovered? We study and test this question with a density-matched dynamic stochastic block model and an A1 -&gt; B -&gt; A2 protocol. Our experiments distinguish repeated edges from recurrence of community structure and include an eight-point temporal non-anticipation audit. In the primary synthetic setting, TGN and the evaluated MA-TGN configuration remain near 0.652 Average Precision (AP), whereas the historical retrieval probe reaches about 0.760 AP. Random retrieval decreases from 0.7423 to 0.7193 as T_B increases from 25 to 200 snapshots. EdgeBank reaches 0.8884 AP when the same edges recur, but falls to 0.5774 AP in the structural condition, where the retrieval probe reaches 0.6125 AP. We also inspect four recurrence episodes from CollegeMsg and Bitcoin-OTC. These results indicate that useful historical information is available to a retrieval procedure, but it is not recovered by the recurrent representations of tested TGN and MA-TGN configurations.</w:t>
      </w:r>
    </w:p>
    <w:p>
      <w:pPr>
        <w:spacing w:before="0" w:after="60" w:line="269" w:lineRule="auto"/>
      </w:pPr>
      <w:r>
        <w:rPr>
          <w:rFonts w:ascii="Times New Roman" w:hAnsi="Times New Roman"/>
          <w:b/>
          <w:sz w:val="19"/>
        </w:rPr>
        <w:t xml:space="preserve">Keywords: </w:t>
      </w:r>
      <w:r>
        <w:rPr>
          <w:rFonts w:ascii="Times New Roman" w:hAnsi="Times New Roman"/>
          <w:i w:val="0"/>
          <w:color w:val="1F2937"/>
          <w:sz w:val="19"/>
        </w:rPr>
        <w:t>temporal graph neural networks, dynamic graphs, temporal memory interference, regime recurrence, episodic retrieval, link prediction.</w:t>
      </w:r>
    </w:p>
    <w:p>
      <w:pPr>
        <w:keepNext/>
        <w:spacing w:before="160" w:after="40"/>
      </w:pPr>
      <w:r>
        <w:rPr>
          <w:rFonts w:ascii="Times New Roman" w:hAnsi="Times New Roman"/>
          <w:b/>
          <w:color w:val="0F172A"/>
          <w:sz w:val="23"/>
        </w:rPr>
        <w:t>Core Scientific Contributions</w:t>
      </w:r>
    </w:p>
    <w:p>
      <w:pPr>
        <w:pStyle w:val="ListBullet"/>
        <w:spacing w:before="0" w:after="40" w:line="269" w:lineRule="auto"/>
      </w:pPr>
      <w:r>
        <w:rPr>
          <w:rFonts w:ascii="Times New Roman" w:hAnsi="Times New Roman"/>
          <w:b/>
          <w:sz w:val="19"/>
        </w:rPr>
        <w:t xml:space="preserve">1. Measurable Recurrence Protocol: </w:t>
      </w:r>
      <w:r>
        <w:rPr>
          <w:rFonts w:ascii="Times New Roman" w:hAnsi="Times New Roman"/>
          <w:color w:val="1F2937"/>
          <w:sz w:val="19"/>
        </w:rPr>
        <w:t>Introduces a measurable A-to-B-to-A protocol for Temporal Memory Interference with strictly matched marginal edge density.</w:t>
      </w:r>
    </w:p>
    <w:p>
      <w:pPr>
        <w:pStyle w:val="ListBullet"/>
        <w:spacing w:before="0" w:after="40" w:line="269" w:lineRule="auto"/>
      </w:pPr>
      <w:r>
        <w:rPr>
          <w:rFonts w:ascii="Times New Roman" w:hAnsi="Times New Roman"/>
          <w:b/>
          <w:sz w:val="19"/>
        </w:rPr>
        <w:t xml:space="preserve">2. Disentangled Evaluation: </w:t>
      </w:r>
      <w:r>
        <w:rPr>
          <w:rFonts w:ascii="Times New Roman" w:hAnsi="Times New Roman"/>
          <w:color w:val="1F2937"/>
          <w:sz w:val="19"/>
        </w:rPr>
        <w:t>Separates exact-edge recurrence from latent structural community recurrence.</w:t>
      </w:r>
    </w:p>
    <w:p>
      <w:pPr>
        <w:pStyle w:val="ListBullet"/>
        <w:spacing w:before="0" w:after="40" w:line="269" w:lineRule="auto"/>
      </w:pPr>
      <w:r>
        <w:rPr>
          <w:rFonts w:ascii="Times New Roman" w:hAnsi="Times New Roman"/>
          <w:b/>
          <w:sz w:val="19"/>
        </w:rPr>
        <w:t xml:space="preserve">3. Diagnostic Bounds: </w:t>
      </w:r>
      <w:r>
        <w:rPr>
          <w:rFonts w:ascii="Times New Roman" w:hAnsi="Times New Roman"/>
          <w:color w:val="1F2937"/>
          <w:sz w:val="19"/>
        </w:rPr>
        <w:t>Compares continuous recurrent models, edge-history baselines, and explicitly identified diagnostic retrieval probes.</w:t>
      </w:r>
    </w:p>
    <w:p>
      <w:pPr>
        <w:pStyle w:val="ListBullet"/>
        <w:spacing w:before="0" w:after="40" w:line="269" w:lineRule="auto"/>
      </w:pPr>
      <w:r>
        <w:rPr>
          <w:rFonts w:ascii="Times New Roman" w:hAnsi="Times New Roman"/>
          <w:b/>
          <w:sz w:val="19"/>
        </w:rPr>
        <w:t xml:space="preserve">4. Multi-Domain Validation: </w:t>
      </w:r>
      <w:r>
        <w:rPr>
          <w:rFonts w:ascii="Times New Roman" w:hAnsi="Times New Roman"/>
          <w:color w:val="1F2937"/>
          <w:sz w:val="19"/>
        </w:rPr>
        <w:t>Evaluates controlled synthetic streams across 10 seeds and reports exploratory results on CollegeMsg and Bitcoin-OTC datasets [25-27, 31, 32].</w:t>
      </w:r>
    </w:p>
    <w:p>
      <w:pPr>
        <w:keepNext/>
        <w:spacing w:before="160" w:after="40"/>
      </w:pPr>
      <w:r>
        <w:rPr>
          <w:rFonts w:ascii="Times New Roman" w:hAnsi="Times New Roman"/>
          <w:b/>
          <w:color w:val="0F172A"/>
          <w:sz w:val="23"/>
        </w:rPr>
        <w:t>1. Introduction</w:t>
      </w:r>
    </w:p>
    <w:p>
      <w:pPr>
        <w:keepNext/>
        <w:spacing w:before="120" w:after="40"/>
      </w:pPr>
      <w:r>
        <w:rPr>
          <w:rFonts w:ascii="Times New Roman" w:hAnsi="Times New Roman"/>
          <w:b/>
          <w:color w:val="1E293B"/>
          <w:sz w:val="20"/>
        </w:rPr>
        <w:t>1.1 Problem: Dynamic Relational Streams with Recurring Dynamics</w:t>
      </w:r>
    </w:p>
    <w:p>
      <w:pPr>
        <w:spacing w:before="0" w:after="60" w:line="269" w:lineRule="auto"/>
      </w:pPr>
      <w:r>
        <w:rPr>
          <w:rFonts w:ascii="Times New Roman" w:hAnsi="Times New Roman"/>
          <w:i w:val="0"/>
          <w:color w:val="1F2937"/>
          <w:sz w:val="19"/>
        </w:rPr>
        <w:t>Dynamic graphs occur in communication, social, commercial, financial, and collaborative systems, where the set of active relationships changes over time [28, 36]. Formally, let G_t = (V, E_t) denote a dynamic relational network at time t, where interactions arrive as an asynchronous stream of timestamped events:</w:t>
      </w:r>
    </w:p>
    <w:p>
      <w:pPr>
        <w:keepNext/>
        <w:spacing w:before="40" w:after="60"/>
        <w:jc w:val="center"/>
      </w:pPr>
      <w:r>
        <w:rPr>
          <w:rFonts w:ascii="Times New Roman" w:hAnsi="Times New Roman"/>
          <w:b/>
          <w:i/>
          <w:color w:val="0F172A"/>
          <w:sz w:val="19"/>
        </w:rPr>
        <w:t>e_k = (u_k, v_k, t_k, e_k) in V x V x R^+ x R^{d_e}    (1)</w:t>
      </w:r>
    </w:p>
    <w:p>
      <w:pPr>
        <w:spacing w:before="0" w:after="60" w:line="269" w:lineRule="auto"/>
      </w:pPr>
      <w:r>
        <w:rPr>
          <w:rFonts w:ascii="Times New Roman" w:hAnsi="Times New Roman"/>
          <w:i w:val="0"/>
          <w:color w:val="1F2937"/>
          <w:sz w:val="19"/>
        </w:rPr>
        <w:t>with u_k, v_k in V and e_k representing optional edge features. Continuous-time dynamic graph neural networks (e.g., TGN, DyRep, JODIE, TGAT) process these events sequentially [1-4]. For an interaction (u, v) occurring at time t, raw messages are computed by a message function:</w:t>
      </w:r>
    </w:p>
    <w:p>
      <w:pPr>
        <w:keepNext/>
        <w:spacing w:before="40" w:after="60"/>
        <w:jc w:val="center"/>
      </w:pPr>
      <w:r>
        <w:rPr>
          <w:rFonts w:ascii="Times New Roman" w:hAnsi="Times New Roman"/>
          <w:b/>
          <w:i/>
          <w:color w:val="0F172A"/>
          <w:sz w:val="19"/>
        </w:rPr>
        <w:t>m_u(t) = msg(m_u(t^-), m_v(t^-), Delta t, e_{uv}(t))    (2)</w:t>
      </w:r>
    </w:p>
    <w:p>
      <w:pPr>
        <w:spacing w:before="0" w:after="60" w:line="269" w:lineRule="auto"/>
      </w:pPr>
      <w:r>
        <w:rPr>
          <w:rFonts w:ascii="Times New Roman" w:hAnsi="Times New Roman"/>
          <w:i w:val="0"/>
          <w:color w:val="1F2937"/>
          <w:sz w:val="19"/>
        </w:rPr>
        <w:t>where t^- is the timestamp of the previous interaction involving node u, and Delta t = t - t^-. When multiple interactions occur within the same temporal batch, messages for node u are aggregated via:</w:t>
      </w:r>
    </w:p>
    <w:p>
      <w:pPr>
        <w:keepNext/>
        <w:spacing w:before="40" w:after="60"/>
        <w:jc w:val="center"/>
      </w:pPr>
      <w:r>
        <w:rPr>
          <w:rFonts w:ascii="Times New Roman" w:hAnsi="Times New Roman"/>
          <w:b/>
          <w:i/>
          <w:color w:val="0F172A"/>
          <w:sz w:val="19"/>
        </w:rPr>
        <w:t>m_bar_u(t) = agg({m_u(t_i) : t_i &lt;= t, i in N_u(t)})    (3)</w:t>
      </w:r>
    </w:p>
    <w:p>
      <w:pPr>
        <w:spacing w:before="0" w:after="60" w:line="269" w:lineRule="auto"/>
      </w:pPr>
      <w:r>
        <w:rPr>
          <w:rFonts w:ascii="Times New Roman" w:hAnsi="Times New Roman"/>
          <w:i w:val="0"/>
          <w:color w:val="1F2937"/>
          <w:sz w:val="19"/>
        </w:rPr>
        <w:t>The continuous recurrent node representation m_u(t) is subsequently updated via a recurrent cell (e.g., GRU):</w:t>
      </w:r>
    </w:p>
    <w:p>
      <w:pPr>
        <w:keepNext/>
        <w:spacing w:before="40" w:after="60"/>
        <w:jc w:val="center"/>
      </w:pPr>
      <w:r>
        <w:rPr>
          <w:rFonts w:ascii="Times New Roman" w:hAnsi="Times New Roman"/>
          <w:b/>
          <w:i/>
          <w:color w:val="0F172A"/>
          <w:sz w:val="19"/>
        </w:rPr>
        <w:t>m_u(t) = GRU(m_u(t^-), m_bar_u(t))    (4)</w:t>
      </w:r>
    </w:p>
    <w:p>
      <w:pPr>
        <w:spacing w:before="0" w:after="60" w:line="269" w:lineRule="auto"/>
      </w:pPr>
      <w:r>
        <w:rPr>
          <w:rFonts w:ascii="Times New Roman" w:hAnsi="Times New Roman"/>
          <w:i w:val="0"/>
          <w:color w:val="1F2937"/>
          <w:sz w:val="19"/>
        </w:rPr>
        <w:t>To capture fine-grained temporal intervals, continuous harmonic time encodings map time differences Delta t into continuous Fourier features:</w:t>
      </w:r>
    </w:p>
    <w:p>
      <w:pPr>
        <w:keepNext/>
        <w:spacing w:before="40" w:after="60"/>
        <w:jc w:val="center"/>
      </w:pPr>
      <w:r>
        <w:rPr>
          <w:rFonts w:ascii="Times New Roman" w:hAnsi="Times New Roman"/>
          <w:b/>
          <w:i/>
          <w:color w:val="0F172A"/>
          <w:sz w:val="19"/>
        </w:rPr>
        <w:t>Phi(Delta t) = [cos(omega_1 Delta t), sin(omega_1 Delta t), ..., cos(omega_{d_t} Delta t), sin(omega_{d_t} Delta t)]^T    (5)</w:t>
      </w:r>
    </w:p>
    <w:p>
      <w:pPr>
        <w:spacing w:before="0" w:after="60" w:line="269" w:lineRule="auto"/>
      </w:pPr>
      <w:r>
        <w:rPr>
          <w:rFonts w:ascii="Times New Roman" w:hAnsi="Times New Roman"/>
          <w:i w:val="0"/>
          <w:color w:val="1F2937"/>
          <w:sz w:val="19"/>
        </w:rPr>
        <w:t>where omega_i are learnable or harmonic frequencies. Finally, temporal graph attention or convolution aggregates dynamic neighborhood features into a localized embedding:</w:t>
      </w:r>
    </w:p>
    <w:p>
      <w:pPr>
        <w:keepNext/>
        <w:spacing w:before="40" w:after="60"/>
        <w:jc w:val="center"/>
      </w:pPr>
      <w:r>
        <w:rPr>
          <w:rFonts w:ascii="Times New Roman" w:hAnsi="Times New Roman"/>
          <w:b/>
          <w:i/>
          <w:color w:val="0F172A"/>
          <w:sz w:val="19"/>
        </w:rPr>
        <w:t>z_u(t) = sum_{v in N(u)} beta_{uv}(t) W_v [m_v(t) || Phi(t - t_v)]    (6)</w:t>
      </w:r>
    </w:p>
    <w:p>
      <w:pPr>
        <w:spacing w:before="0" w:after="60" w:line="269" w:lineRule="auto"/>
      </w:pPr>
      <w:r>
        <w:rPr>
          <w:rFonts w:ascii="Times New Roman" w:hAnsi="Times New Roman"/>
          <w:i w:val="0"/>
          <w:color w:val="1F2937"/>
          <w:sz w:val="19"/>
        </w:rPr>
        <w:t>where beta_{uv}(t) denotes dynamic temporal attention coefficients. While these formulations enable next-event forecasting, our primary concern is whether a representation governed by Eq. (4) and Eq. (6) can preserve and retrieve earlier structural regimes after prolonged exposure to conflicting graph dynamics.</w:t>
      </w:r>
    </w:p>
    <w:p>
      <w:pPr>
        <w:keepNext/>
        <w:spacing w:before="120" w:after="40"/>
      </w:pPr>
      <w:r>
        <w:rPr>
          <w:rFonts w:ascii="Times New Roman" w:hAnsi="Times New Roman"/>
          <w:b/>
          <w:color w:val="1E293B"/>
          <w:sz w:val="20"/>
        </w:rPr>
        <w:t>1.2 Motivation: The Gap in Recurrence Benchmarking</w:t>
      </w:r>
    </w:p>
    <w:p>
      <w:pPr>
        <w:spacing w:before="0" w:after="60" w:line="269" w:lineRule="auto"/>
      </w:pPr>
      <w:r>
        <w:rPr>
          <w:rFonts w:ascii="Times New Roman" w:hAnsi="Times New Roman"/>
          <w:i w:val="0"/>
          <w:color w:val="1F2937"/>
          <w:sz w:val="19"/>
        </w:rPr>
        <w:t>Most dynamic link-prediction benchmarks use chronological splits, with earlier events used to predict later events [14, 16, 19, 32]. Such a split is useful for forecasting, but it does not isolate the case in which an earlier regime returns after a conflicting interval. Our benchmark therefore uses an A1 -&gt; B -&gt; A2 sequence (illustrated in Figure 1) and varies both the length and the type of B. The matched A1 -&gt; A2 sequence serves as the control, allowing the effect of the intervening regime to be measured directly.</w:t>
      </w:r>
    </w:p>
    <w:p>
      <w:pPr>
        <w:keepNext/>
        <w:spacing w:before="80" w:after="40"/>
        <w:jc w:val="center"/>
      </w:pPr>
      <w:r>
        <w:drawing>
          <wp:inline xmlns:a="http://schemas.openxmlformats.org/drawingml/2006/main" xmlns:pic="http://schemas.openxmlformats.org/drawingml/2006/picture">
            <wp:extent cx="4572000" cy="1302152"/>
            <wp:docPr id="1" name="Picture 1"/>
            <wp:cNvGraphicFramePr>
              <a:graphicFrameLocks noChangeAspect="1"/>
            </wp:cNvGraphicFramePr>
            <a:graphic>
              <a:graphicData uri="http://schemas.openxmlformats.org/drawingml/2006/picture">
                <pic:pic>
                  <pic:nvPicPr>
                    <pic:cNvPr id="0" name="fig1_benchmark_concept.png"/>
                    <pic:cNvPicPr/>
                  </pic:nvPicPr>
                  <pic:blipFill>
                    <a:blip r:embed="rId9"/>
                    <a:stretch>
                      <a:fillRect/>
                    </a:stretch>
                  </pic:blipFill>
                  <pic:spPr>
                    <a:xfrm>
                      <a:off x="0" y="0"/>
                      <a:ext cx="4572000" cy="1302152"/>
                    </a:xfrm>
                    <a:prstGeom prst="rect"/>
                  </pic:spPr>
                </pic:pic>
              </a:graphicData>
            </a:graphic>
          </wp:inline>
        </w:drawing>
      </w:r>
    </w:p>
    <w:p>
      <w:pPr>
        <w:spacing w:before="20" w:after="120"/>
        <w:jc w:val="center"/>
      </w:pPr>
      <w:r>
        <w:rPr>
          <w:rFonts w:ascii="Times New Roman" w:hAnsi="Times New Roman"/>
          <w:i/>
          <w:color w:val="475569"/>
          <w:sz w:val="17"/>
        </w:rPr>
        <w:t>Figure 1: Conceptual Overview of the Controlled Temporal Recurrence Benchmark and Regime Sequence (Regime A1 -&gt; Distractor Regime B -&gt; Recurring Regime A2).</w:t>
      </w:r>
    </w:p>
    <w:p>
      <w:pPr>
        <w:keepNext/>
        <w:spacing w:before="120" w:after="40"/>
      </w:pPr>
      <w:r>
        <w:rPr>
          <w:rFonts w:ascii="Times New Roman" w:hAnsi="Times New Roman"/>
          <w:b/>
          <w:color w:val="1E293B"/>
          <w:sz w:val="20"/>
        </w:rPr>
        <w:t>1.3 Research Hypotheses (H1-H4)</w:t>
      </w:r>
    </w:p>
    <w:p>
      <w:pPr>
        <w:spacing w:before="0" w:after="60" w:line="269" w:lineRule="auto"/>
      </w:pPr>
      <w:r>
        <w:rPr>
          <w:rFonts w:ascii="Times New Roman" w:hAnsi="Times New Roman"/>
          <w:i w:val="0"/>
          <w:color w:val="1F2937"/>
          <w:sz w:val="19"/>
        </w:rPr>
        <w:t>We use four hypotheses to organize the experiments. Each is treated as an empirical question, so the results are used to assess the prediction rather than to assume it in advance:</w:t>
      </w:r>
    </w:p>
    <w:p>
      <w:pPr>
        <w:pStyle w:val="ListBullet"/>
        <w:spacing w:before="0" w:after="40" w:line="269" w:lineRule="auto"/>
      </w:pPr>
      <w:r>
        <w:rPr>
          <w:rFonts w:ascii="Times New Roman" w:hAnsi="Times New Roman"/>
          <w:b/>
          <w:sz w:val="19"/>
        </w:rPr>
        <w:t xml:space="preserve">H1 (Duration effect): </w:t>
      </w:r>
      <w:r>
        <w:rPr>
          <w:rFonts w:ascii="Times New Roman" w:hAnsi="Times New Roman"/>
          <w:color w:val="1F2937"/>
          <w:sz w:val="19"/>
        </w:rPr>
        <w:t>The diagnostic random-retrieval baseline should lose predictive value as the conflicting interval T_B becomes longer.</w:t>
      </w:r>
    </w:p>
    <w:p>
      <w:pPr>
        <w:pStyle w:val="ListBullet"/>
        <w:spacing w:before="0" w:after="40" w:line="269" w:lineRule="auto"/>
      </w:pPr>
      <w:r>
        <w:rPr>
          <w:rFonts w:ascii="Times New Roman" w:hAnsi="Times New Roman"/>
          <w:b/>
          <w:sz w:val="19"/>
        </w:rPr>
        <w:t xml:space="preserve">H2 (Capacity): </w:t>
      </w:r>
      <w:r>
        <w:rPr>
          <w:rFonts w:ascii="Times New Roman" w:hAnsi="Times New Roman"/>
          <w:color w:val="1F2937"/>
          <w:sz w:val="19"/>
        </w:rPr>
        <w:t>Increasing the recurrent memory dimension d_m should provide only limited protection against long conflicting intervals in the evaluated TGN configuration.</w:t>
      </w:r>
    </w:p>
    <w:p>
      <w:pPr>
        <w:pStyle w:val="ListBullet"/>
        <w:spacing w:before="0" w:after="40" w:line="269" w:lineRule="auto"/>
      </w:pPr>
      <w:r>
        <w:rPr>
          <w:rFonts w:ascii="Times New Roman" w:hAnsi="Times New Roman"/>
          <w:b/>
          <w:sz w:val="19"/>
        </w:rPr>
        <w:t xml:space="preserve">H3 (Addressable retrieval): </w:t>
      </w:r>
      <w:r>
        <w:rPr>
          <w:rFonts w:ascii="Times New Roman" w:hAnsi="Times New Roman"/>
          <w:color w:val="1F2937"/>
          <w:sz w:val="19"/>
        </w:rPr>
        <w:t>An addressable historical state should recover more of the earlier signal than the continuously updated recurrent state. The synthetic results do not show a gain for the evaluated MA-TGN implementation itself; the retrieval probe is therefore used as a diagnostic reference rather than as evidence of a successful architectural solution.</w:t>
      </w:r>
    </w:p>
    <w:p>
      <w:pPr>
        <w:pStyle w:val="ListBullet"/>
        <w:spacing w:before="0" w:after="40" w:line="269" w:lineRule="auto"/>
      </w:pPr>
      <w:r>
        <w:rPr>
          <w:rFonts w:ascii="Times New Roman" w:hAnsi="Times New Roman"/>
          <w:b/>
          <w:sz w:val="19"/>
        </w:rPr>
        <w:t xml:space="preserve">H4 (Exact versus structural recurrence): </w:t>
      </w:r>
      <w:r>
        <w:rPr>
          <w:rFonts w:ascii="Times New Roman" w:hAnsi="Times New Roman"/>
          <w:color w:val="1F2937"/>
          <w:sz w:val="19"/>
        </w:rPr>
        <w:t>When the recurring signal is expressed mainly through community structure rather than repeated node pairs, historical structural retrieval should retain an advantage over exact-edge lookup.</w:t>
      </w:r>
    </w:p>
    <w:p>
      <w:pPr>
        <w:keepNext/>
        <w:spacing w:before="160" w:after="40"/>
      </w:pPr>
      <w:r>
        <w:rPr>
          <w:rFonts w:ascii="Times New Roman" w:hAnsi="Times New Roman"/>
          <w:b/>
          <w:color w:val="0F172A"/>
          <w:sz w:val="23"/>
        </w:rPr>
        <w:t>2. Related Work and Positioning</w:t>
      </w:r>
    </w:p>
    <w:p>
      <w:pPr>
        <w:spacing w:before="0" w:after="60" w:line="269" w:lineRule="auto"/>
      </w:pPr>
      <w:r>
        <w:rPr>
          <w:rFonts w:ascii="Times New Roman" w:hAnsi="Times New Roman"/>
          <w:i w:val="0"/>
          <w:color w:val="1F2937"/>
          <w:sz w:val="19"/>
        </w:rPr>
        <w:t>The related work relevant to this study falls into six broad groups: continuous-time recurrent models [1-4, 31], temporal-neighborhood and long-history methods [5-9, 17, 18, 33], exact-edge historical lookup tables [14, 16, 19, 32], continual-learning approaches based on replay or regularization [10-12, 21, 29, 30, 34], episodic graph memory frameworks [22, 23, 35], and periodic/harmonic TGNNs [7, 24]. These lines of work address different parts of the temporal-memory problem. Our experiment instead asks what remains accessible when a previously observed regime returns after a controlled interruption.</w:t>
      </w:r>
    </w:p>
    <w:p>
      <w:pPr>
        <w:spacing w:before="0" w:after="60" w:line="269" w:lineRule="auto"/>
      </w:pPr>
      <w:r>
        <w:rPr>
          <w:rFonts w:ascii="Times New Roman" w:hAnsi="Times New Roman"/>
          <w:i w:val="0"/>
          <w:color w:val="1F2937"/>
          <w:sz w:val="19"/>
        </w:rPr>
        <w:t>As structured in Table 1, existing methods differ substantially in how they retain historical interactions, varying from continuous recurrent hidden state compression to explicit non-parametric edge lookups.</w:t>
      </w:r>
    </w:p>
    <w:p>
      <w:pPr>
        <w:keepNext/>
        <w:spacing w:before="120" w:after="40"/>
        <w:jc w:val="center"/>
      </w:pPr>
      <w:r>
        <w:rPr>
          <w:rFonts w:ascii="Times New Roman" w:hAnsi="Times New Roman"/>
          <w:b/>
          <w:sz w:val="18"/>
        </w:rPr>
        <w:t>Table 1: Literature Positioning and Architectural Taxonomy.</w:t>
      </w:r>
    </w:p>
    <w:tbl>
      <w:tblPr>
        <w:tblW w:type="auto" w:w="0"/>
        <w:jc w:val="center"/>
        <w:tblLook w:firstColumn="1" w:firstRow="1" w:lastColumn="0" w:lastRow="0" w:noHBand="0" w:noVBand="1" w:val="04A0"/>
      </w:tblPr>
      <w:tblGrid>
        <w:gridCol w:w="2592"/>
        <w:gridCol w:w="2592"/>
        <w:gridCol w:w="2592"/>
        <w:gridCol w:w="2592"/>
      </w:tblGrid>
      <w:tr>
        <w:trPr>
          <w:tblHeader/>
          <w:cantSplit/>
        </w:trPr>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Literature Category</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Core Mechanism</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Compresses history into evolving node state</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Key Representative Venues</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Continuous Recurrent TGNNs</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Node-level GRU/RNN updated per interaction event</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Yes; uses sequential gating rather than an explicit checkpoint cache</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TGN (ICML'20) [1], JODIE (KDD'19) [3], DyRep (ICLR'19) [2]</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Long-History &amp; Memory-Free</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Full temporal neighbor patching via self-attention</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No; strong when exact historical edges recur; less direct for structural recurrence</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DyGFormer (ICLR'23) [18], GraphMixer (ICLR'23) [17]</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Exact Edge Lookup Tables</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Raw memorization of positive historical edges</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No; non-parametric edge frequency tracking</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EdgeBank (NeurIPS'22) [14]</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Continual Graph Learning</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Experience replay / regularization for discrete task shifts</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Uses explicit replay or regularization; often assumes task boundaries [21, 29, 30]</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CRAFT (NeurIPS'23) [20], ER-GNN (AAAI'21) [10]</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Episodic Graph Memory</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Key-value addressing over graph snapshot checkpoints</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Hybrid; explicit temporal encoding alongside embeddings [35]</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NEU (KDD'22) [23], MA-TGN (This Work)</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Periodic / Harmonic TGNNs</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Fourier / Bochner time encoding for cyclic patterns</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Encodes periodic time coordinates; requires strict mathematical periodicity</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TGAT (ICLR'20) [4], APAN (SIGMOD'21) [7]</w:t>
            </w:r>
          </w:p>
        </w:tc>
      </w:tr>
    </w:tbl>
    <w:p>
      <w:pPr>
        <w:spacing w:before="0" w:after="80"/>
      </w:pPr>
    </w:p>
    <w:p>
      <w:pPr>
        <w:keepNext/>
        <w:spacing w:before="160" w:after="40"/>
      </w:pPr>
      <w:r>
        <w:rPr>
          <w:rFonts w:ascii="Times New Roman" w:hAnsi="Times New Roman"/>
          <w:b/>
          <w:color w:val="0F172A"/>
          <w:sz w:val="23"/>
        </w:rPr>
        <w:t>3. Problem Formulation and Temporal Non-Anticipation Audit</w:t>
      </w:r>
    </w:p>
    <w:p>
      <w:pPr>
        <w:spacing w:before="0" w:after="60" w:line="269" w:lineRule="auto"/>
      </w:pPr>
      <w:r>
        <w:rPr>
          <w:rFonts w:ascii="Times New Roman" w:hAnsi="Times New Roman"/>
          <w:i w:val="0"/>
          <w:color w:val="1F2937"/>
          <w:sz w:val="19"/>
        </w:rPr>
        <w:t>Let G_t=(V,E_t) be the graph at time t and let e=(u,v,t) denote an interaction. A recurrent TGNN maintains a node state m_v(t), updated strictly with historical information available up to time t [1, 2]. Link prediction optimizes a binary cross-entropy loss over observed edges E_t^+ and sampled negative pairs E_t^-:</w:t>
      </w:r>
    </w:p>
    <w:p>
      <w:pPr>
        <w:keepNext/>
        <w:spacing w:before="40" w:after="60"/>
        <w:jc w:val="center"/>
      </w:pPr>
      <w:r>
        <w:rPr>
          <w:rFonts w:ascii="Times New Roman" w:hAnsi="Times New Roman"/>
          <w:b/>
          <w:i/>
          <w:color w:val="0F172A"/>
          <w:sz w:val="19"/>
        </w:rPr>
        <w:t>L_BCE = -sum_{(u, v) in E_t^+} log hat_y_{uv}(t) - sum_{(u, v') in E_t^-} log(1 - hat_y_{uv'}(t))    (7)</w:t>
      </w:r>
    </w:p>
    <w:p>
      <w:pPr>
        <w:spacing w:before="0" w:after="60" w:line="269" w:lineRule="auto"/>
      </w:pPr>
      <w:r>
        <w:rPr>
          <w:rFonts w:ascii="Times New Roman" w:hAnsi="Times New Roman"/>
          <w:i w:val="0"/>
          <w:color w:val="1F2937"/>
          <w:sz w:val="19"/>
        </w:rPr>
        <w:t>where hat_y_{uv}(t) in [0, 1] represents the predicted link probability between nodes u and v.</w:t>
      </w:r>
    </w:p>
    <w:p>
      <w:pPr>
        <w:keepNext/>
        <w:spacing w:before="120" w:after="40"/>
      </w:pPr>
      <w:r>
        <w:rPr>
          <w:rFonts w:ascii="Times New Roman" w:hAnsi="Times New Roman"/>
          <w:b/>
          <w:color w:val="1E293B"/>
          <w:sz w:val="20"/>
        </w:rPr>
        <w:t>3.1 Definition of Temporal Memory Interference</w:t>
      </w:r>
    </w:p>
    <w:p>
      <w:pPr>
        <w:spacing w:before="0" w:after="60" w:line="269" w:lineRule="auto"/>
      </w:pPr>
      <w:r>
        <w:rPr>
          <w:rFonts w:ascii="Times New Roman" w:hAnsi="Times New Roman"/>
          <w:i w:val="0"/>
          <w:color w:val="1F2937"/>
          <w:sz w:val="19"/>
        </w:rPr>
        <w:t>We evaluate dynamic link prediction when Regime A returns after an A1 -&gt; B -&gt; A2 sequence and compare it with the matched A1 -&gt; A2 control. Formally, Temporal Memory Interference (TMI) is defined as:</w:t>
      </w:r>
    </w:p>
    <w:p>
      <w:pPr>
        <w:keepNext/>
        <w:spacing w:before="40" w:after="60"/>
        <w:jc w:val="center"/>
      </w:pPr>
      <w:r>
        <w:rPr>
          <w:rFonts w:ascii="Times New Roman" w:hAnsi="Times New Roman"/>
          <w:b/>
          <w:i/>
          <w:color w:val="0F172A"/>
          <w:sz w:val="19"/>
        </w:rPr>
        <w:t>TMI(T_B) = AP(A1 -&gt; A2 uninterrupted) - AP(A1 -&gt; B(T_B) -&gt; A2)    (8)</w:t>
      </w:r>
    </w:p>
    <w:p>
      <w:pPr>
        <w:spacing w:before="0" w:after="60" w:line="269" w:lineRule="auto"/>
      </w:pPr>
      <w:r>
        <w:rPr>
          <w:rFonts w:ascii="Times New Roman" w:hAnsi="Times New Roman"/>
          <w:i w:val="0"/>
          <w:color w:val="1F2937"/>
          <w:sz w:val="19"/>
        </w:rPr>
        <w:t>The Average Precision (AP) metric used in Eq. (8) summarizes the precision-recall curve across M ranked candidate pairs:</w:t>
      </w:r>
    </w:p>
    <w:p>
      <w:pPr>
        <w:keepNext/>
        <w:spacing w:before="40" w:after="60"/>
        <w:jc w:val="center"/>
      </w:pPr>
      <w:r>
        <w:rPr>
          <w:rFonts w:ascii="Times New Roman" w:hAnsi="Times New Roman"/>
          <w:b/>
          <w:i/>
          <w:color w:val="0F172A"/>
          <w:sz w:val="19"/>
        </w:rPr>
        <w:t>AP = sum_{k=1}^M (R_k - R_{k-1}) P_k    (9)</w:t>
      </w:r>
    </w:p>
    <w:p>
      <w:pPr>
        <w:spacing w:before="0" w:after="60" w:line="269" w:lineRule="auto"/>
      </w:pPr>
      <w:r>
        <w:rPr>
          <w:rFonts w:ascii="Times New Roman" w:hAnsi="Times New Roman"/>
          <w:i w:val="0"/>
          <w:color w:val="1F2937"/>
          <w:sz w:val="19"/>
        </w:rPr>
        <w:t>where P_k and R_k denote precision and recall at rank threshold k. A positive TMI value indicates performance loss following regime B. To quantify regime similarity and edge repetition, instantaneous and cumulative Jaccard similarities are defined as:</w:t>
      </w:r>
    </w:p>
    <w:p>
      <w:pPr>
        <w:keepNext/>
        <w:spacing w:before="40" w:after="60"/>
        <w:jc w:val="center"/>
      </w:pPr>
      <w:r>
        <w:rPr>
          <w:rFonts w:ascii="Times New Roman" w:hAnsi="Times New Roman"/>
          <w:b/>
          <w:i/>
          <w:color w:val="0F172A"/>
          <w:sz w:val="19"/>
        </w:rPr>
        <w:t>J_inst(t, t') = |E_t cap E_t'| / |E_t cup E_t'|,   J_cum(T_1, T_2) = |cup E_t cap cup E_t'| / |cup E_t cup cup E_t'|    (10)</w:t>
      </w:r>
    </w:p>
    <w:p>
      <w:pPr>
        <w:keepNext/>
        <w:spacing w:before="120" w:after="40"/>
      </w:pPr>
      <w:r>
        <w:rPr>
          <w:rFonts w:ascii="Times New Roman" w:hAnsi="Times New Roman"/>
          <w:b/>
          <w:color w:val="1E293B"/>
          <w:sz w:val="20"/>
        </w:rPr>
        <w:t>3.2 Eight-Point Temporal Non-Anticipation Audit</w:t>
      </w:r>
    </w:p>
    <w:p>
      <w:pPr>
        <w:spacing w:before="0" w:after="60" w:line="269" w:lineRule="auto"/>
      </w:pPr>
      <w:r>
        <w:rPr>
          <w:rFonts w:ascii="Times New Roman" w:hAnsi="Times New Roman"/>
          <w:i w:val="0"/>
          <w:color w:val="1F2937"/>
          <w:sz w:val="19"/>
        </w:rPr>
        <w:t>For every compared method, we applied the same eight non-anticipation checks. As detailed in Table 2, they cover candidate and label parity, temporal masking, update order, regime-boundary blindness, checkpoint masking, and shared negative sampling. Together, these checks address the main sources of temporal leakage in this benchmark; they are not intended as a causal identification procedure.</w:t>
      </w:r>
    </w:p>
    <w:p>
      <w:pPr>
        <w:keepNext/>
        <w:spacing w:before="120" w:after="40"/>
        <w:jc w:val="center"/>
      </w:pPr>
      <w:r>
        <w:rPr>
          <w:rFonts w:ascii="Times New Roman" w:hAnsi="Times New Roman"/>
          <w:b/>
          <w:sz w:val="18"/>
        </w:rPr>
        <w:t>Table 2: Eight-Point Temporal Non-Anticipation and Causality Verification.</w:t>
      </w:r>
    </w:p>
    <w:tbl>
      <w:tblPr>
        <w:tblW w:type="auto" w:w="0"/>
        <w:jc w:val="center"/>
        <w:tblLook w:firstColumn="1" w:firstRow="1" w:lastColumn="0" w:lastRow="0" w:noHBand="0" w:noVBand="1" w:val="04A0"/>
      </w:tblPr>
      <w:tblGrid>
        <w:gridCol w:w="3456"/>
        <w:gridCol w:w="3456"/>
        <w:gridCol w:w="3456"/>
      </w:tblGrid>
      <w:tr>
        <w:trPr>
          <w:tblHeader/>
          <w:cantSplit/>
        </w:trPr>
        <w:tc>
          <w:tcPr>
            <w:tcW w:type="dxa" w:w="3456"/>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Audit Item</w:t>
            </w:r>
          </w:p>
        </w:tc>
        <w:tc>
          <w:tcPr>
            <w:tcW w:type="dxa" w:w="3456"/>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Verification Protocol &amp; Invariant</w:t>
            </w:r>
          </w:p>
        </w:tc>
        <w:tc>
          <w:tcPr>
            <w:tcW w:type="dxa" w:w="3456"/>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Status</w:t>
            </w:r>
          </w:p>
        </w:tc>
      </w:tr>
      <w:tr>
        <w:trPr>
          <w:cantSplit/>
        </w:trPr>
        <w:tc>
          <w:tcPr>
            <w:tcW w:type="dxa" w:w="3456"/>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1. Candidate Edge Parity</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Identical positive and negative candidate arrays evaluated per timestep</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2. Target Label Parity</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Ground-truth positive/negative labels strictly identical across all models</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3. Strict Temporal Causality</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Only historical interactions with timestamp tau &lt;= t accessible at step t</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4. Post-Evaluation Memory Update</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Test interaction edges enter memory strictly after scoring candidate links</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5. Unfeatured Graph Symmetry</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No exogenous node features; any learnable node-identity representation must be disclosed</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6. Episodic Checkpoint Masking</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Future checkpoints with timestamp tau &gt; t masked with -infinity</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7. Regime Boundary Blindness</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Zero manual regime transition flags provided to models at runtime</w:t>
            </w:r>
          </w:p>
        </w:tc>
        <w:tc>
          <w:tcPr>
            <w:tcW w:type="dxa" w:w="3456"/>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PASS</w:t>
            </w:r>
          </w:p>
        </w:tc>
      </w:tr>
      <w:tr>
        <w:trPr>
          <w:cantSplit/>
        </w:trPr>
        <w:tc>
          <w:tcPr>
            <w:tcW w:type="dxa" w:w="3456"/>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8. Shared Negative Generation</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Deterministic PRNG seed offset (seed + t) for identical negative pairs</w:t>
            </w:r>
          </w:p>
        </w:tc>
        <w:tc>
          <w:tcPr>
            <w:tcW w:type="dxa" w:w="3456"/>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PASS</w:t>
            </w:r>
          </w:p>
        </w:tc>
      </w:tr>
    </w:tbl>
    <w:p>
      <w:pPr>
        <w:spacing w:before="0" w:after="80"/>
      </w:pPr>
    </w:p>
    <w:p>
      <w:pPr>
        <w:spacing w:before="0" w:after="60" w:line="269" w:lineRule="auto"/>
      </w:pPr>
      <w:r>
        <w:rPr>
          <w:rFonts w:ascii="Times New Roman" w:hAnsi="Times New Roman"/>
          <w:i w:val="0"/>
          <w:color w:val="1F2937"/>
          <w:sz w:val="19"/>
        </w:rPr>
        <w:t>The audit was applied to all reported runs. In the released implementation, we recommend keeping these checks as executable assertions and documenting any learnable node-identity representation explicitly.</w:t>
      </w:r>
    </w:p>
    <w:p>
      <w:pPr>
        <w:keepNext/>
        <w:spacing w:before="160" w:after="40"/>
      </w:pPr>
      <w:r>
        <w:rPr>
          <w:rFonts w:ascii="Times New Roman" w:hAnsi="Times New Roman"/>
          <w:b/>
          <w:color w:val="0F172A"/>
          <w:sz w:val="23"/>
        </w:rPr>
        <w:t>4. Controlled Synthetic Dynamic SBM Benchmark</w:t>
      </w:r>
    </w:p>
    <w:p>
      <w:pPr>
        <w:spacing w:before="0" w:after="60" w:line="269" w:lineRule="auto"/>
      </w:pPr>
      <w:r>
        <w:rPr>
          <w:rFonts w:ascii="Times New Roman" w:hAnsi="Times New Roman"/>
          <w:i w:val="0"/>
          <w:color w:val="1F2937"/>
          <w:sz w:val="19"/>
        </w:rPr>
        <w:t>We generate synthetic relational streams using a parameterized Dynamic Stochastic Block Model (DSBM) [27], which enables us to vary regime recurrence while maintaining strictly invariant edge density on average. Our synthetic benchmark consists of N=300 nodes partitioned into K_c=3 equal-sized ground-truth communities (100 nodes each). The latent block connection probability matrix W^{(r)} is:</w:t>
      </w:r>
    </w:p>
    <w:p>
      <w:pPr>
        <w:keepNext/>
        <w:spacing w:before="40" w:after="60"/>
        <w:jc w:val="center"/>
      </w:pPr>
      <w:r>
        <w:rPr>
          <w:rFonts w:ascii="Times New Roman" w:hAnsi="Times New Roman"/>
          <w:b/>
          <w:i/>
          <w:color w:val="0F172A"/>
          <w:sz w:val="19"/>
        </w:rPr>
        <w:t>W_{uv}^{(r)} = p_in^{(r)}  if C^{(r)}(u) = C^{(r)}(v);   p_out^{(r)}  if C^{(r)}(u) != C^{(r)}(v)    (11)</w:t>
      </w:r>
    </w:p>
    <w:p>
      <w:pPr>
        <w:spacing w:before="0" w:after="60" w:line="269" w:lineRule="auto"/>
      </w:pPr>
      <w:r>
        <w:rPr>
          <w:rFonts w:ascii="Times New Roman" w:hAnsi="Times New Roman"/>
          <w:i w:val="0"/>
          <w:color w:val="1F2937"/>
          <w:sz w:val="19"/>
        </w:rPr>
        <w:t>Edge dynamics follow a first-order Markov persistence process with transition probabilities:</w:t>
      </w:r>
    </w:p>
    <w:p>
      <w:pPr>
        <w:keepNext/>
        <w:spacing w:before="40" w:after="60"/>
        <w:jc w:val="center"/>
      </w:pPr>
      <w:r>
        <w:rPr>
          <w:rFonts w:ascii="Times New Roman" w:hAnsi="Times New Roman"/>
          <w:b/>
          <w:i/>
          <w:color w:val="0F172A"/>
          <w:sz w:val="19"/>
        </w:rPr>
        <w:t>P((u, v) in E_{t+1} | (u, v) in E_t, r) = (1 - b_e^{(r)}) X_{e,t} + a_e^{(r)} (1 - X_{e,t})    (12)</w:t>
      </w:r>
    </w:p>
    <w:p>
      <w:pPr>
        <w:spacing w:before="0" w:after="60" w:line="269" w:lineRule="auto"/>
      </w:pPr>
      <w:r>
        <w:rPr>
          <w:rFonts w:ascii="Times New Roman" w:hAnsi="Times New Roman"/>
          <w:i w:val="0"/>
          <w:color w:val="1F2937"/>
          <w:sz w:val="19"/>
        </w:rPr>
        <w:t>where X_{e,t} in {0, 1} is the edge indicator at snapshot t. The transition rates in Eq. (12) are defined as:</w:t>
      </w:r>
    </w:p>
    <w:p>
      <w:pPr>
        <w:keepNext/>
        <w:spacing w:before="40" w:after="60"/>
        <w:jc w:val="center"/>
      </w:pPr>
      <w:r>
        <w:rPr>
          <w:rFonts w:ascii="Times New Roman" w:hAnsi="Times New Roman"/>
          <w:b/>
          <w:i/>
          <w:color w:val="0F172A"/>
          <w:sz w:val="19"/>
        </w:rPr>
        <w:t>a_e^{(r)} = W_e^{(r)} (1 - lambda_r),   b_e^{(r)} = (1 - W_e^{(r)}) (1 - lambda_r)    (13)</w:t>
      </w:r>
    </w:p>
    <w:p>
      <w:pPr>
        <w:spacing w:before="0" w:after="60" w:line="269" w:lineRule="auto"/>
      </w:pPr>
      <w:r>
        <w:rPr>
          <w:rFonts w:ascii="Times New Roman" w:hAnsi="Times New Roman"/>
          <w:i w:val="0"/>
          <w:color w:val="1F2937"/>
          <w:sz w:val="19"/>
        </w:rPr>
        <w:t>The stationary marginal edge existence probability under Eq. (12) and Eq. (13) satisfies:</w:t>
      </w:r>
    </w:p>
    <w:p>
      <w:pPr>
        <w:keepNext/>
        <w:spacing w:before="40" w:after="60"/>
        <w:jc w:val="center"/>
      </w:pPr>
      <w:r>
        <w:rPr>
          <w:rFonts w:ascii="Times New Roman" w:hAnsi="Times New Roman"/>
          <w:b/>
          <w:i/>
          <w:color w:val="0F172A"/>
          <w:sz w:val="19"/>
        </w:rPr>
        <w:t>pi_e^{(r)} = lim_{t-&gt;inf} P(X_{e,t} = 1 | r) = a_e^{(r)} / (a_e^{(r)} + b_e^{(r)}) = W_e^{(r)}    (14)</w:t>
      </w:r>
    </w:p>
    <w:p>
      <w:pPr>
        <w:spacing w:before="0" w:after="60" w:line="269" w:lineRule="auto"/>
      </w:pPr>
      <w:r>
        <w:rPr>
          <w:rFonts w:ascii="Times New Roman" w:hAnsi="Times New Roman"/>
          <w:i w:val="0"/>
          <w:color w:val="1F2937"/>
          <w:sz w:val="19"/>
        </w:rPr>
        <w:t>To ensure that regime changes are purely structural without edge density shifts, marginal edge density is calibrated as:</w:t>
      </w:r>
    </w:p>
    <w:p>
      <w:pPr>
        <w:keepNext/>
        <w:spacing w:before="40" w:after="60"/>
        <w:jc w:val="center"/>
      </w:pPr>
      <w:r>
        <w:rPr>
          <w:rFonts w:ascii="Times New Roman" w:hAnsi="Times New Roman"/>
          <w:b/>
          <w:i/>
          <w:color w:val="0F172A"/>
          <w:sz w:val="19"/>
        </w:rPr>
        <w:t>rho = (p_in + 2 p_out) / 3 = 0.10    (15)</w:t>
      </w:r>
    </w:p>
    <w:p>
      <w:pPr>
        <w:spacing w:before="0" w:after="60" w:line="269" w:lineRule="auto"/>
      </w:pPr>
      <w:r>
        <w:rPr>
          <w:rFonts w:ascii="Times New Roman" w:hAnsi="Times New Roman"/>
          <w:i w:val="0"/>
          <w:color w:val="1F2937"/>
          <w:sz w:val="19"/>
        </w:rPr>
        <w:t>The synthetic experimental schedule consists of 100 snapshots of initial Regime A1, followed by T_B in {25, 50, 100, 200} snapshots of distractor Regime B (with independent community assignment), followed by 50 snapshots of recurring Regime A2. All experiments are executed across 10 independent random seeds (42-51). Table 3 provides the canonical DSBM parameters.</w:t>
      </w:r>
    </w:p>
    <w:p>
      <w:pPr>
        <w:keepNext/>
        <w:spacing w:before="120" w:after="40"/>
        <w:jc w:val="center"/>
      </w:pPr>
      <w:r>
        <w:rPr>
          <w:rFonts w:ascii="Times New Roman" w:hAnsi="Times New Roman"/>
          <w:b/>
          <w:sz w:val="18"/>
        </w:rPr>
        <w:t>Table 3: Controlled Dynamic Stochastic Block Model (DSBM) Parameters.</w:t>
      </w:r>
    </w:p>
    <w:tbl>
      <w:tblPr>
        <w:tblW w:type="auto" w:w="0"/>
        <w:jc w:val="center"/>
        <w:tblLook w:firstColumn="1" w:firstRow="1" w:lastColumn="0" w:lastRow="0" w:noHBand="0" w:noVBand="1" w:val="04A0"/>
      </w:tblPr>
      <w:tblGrid>
        <w:gridCol w:w="2592"/>
        <w:gridCol w:w="2592"/>
        <w:gridCol w:w="2592"/>
        <w:gridCol w:w="2592"/>
      </w:tblGrid>
      <w:tr>
        <w:trPr>
          <w:tblHeader/>
          <w:cantSplit/>
        </w:trPr>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Parameter / Setting</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Symbol</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Canonical Experimental Value</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Scientific Purpose</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Total Nodes</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300 (3 communities of 100)</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Controlled community topology</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Base Edge Density</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rho</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0.10 (Strictly Invariant)</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Eliminates density shift artifacts</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Regime A Persistence</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lambda_A</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0.35 (Partition Seed 101)</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Markov edge temporal correlation</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Regime B Persistence</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lambda_B</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0.15 (Partition Seed 202)</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Conflicting distractor regime</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Regime C Persistence</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lambda_C</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0.25 (Partition Seed 303)</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Novel control regime</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Distractor Durations</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T_B</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{25, 50, 100, 200} snapshots</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Evaluates interference depth</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Evaluation Metric</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AP / AUC</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Average Precision / ROC-AUC</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Ranking quality on link prediction</w:t>
            </w:r>
          </w:p>
        </w:tc>
      </w:tr>
    </w:tbl>
    <w:p>
      <w:pPr>
        <w:spacing w:before="0" w:after="80"/>
      </w:pPr>
    </w:p>
    <w:p>
      <w:pPr>
        <w:keepNext/>
        <w:spacing w:before="160" w:after="40"/>
      </w:pPr>
      <w:r>
        <w:rPr>
          <w:rFonts w:ascii="Times New Roman" w:hAnsi="Times New Roman"/>
          <w:b/>
          <w:color w:val="0F172A"/>
          <w:sz w:val="23"/>
        </w:rPr>
        <w:t>5. Experimental Evaluation and Results</w:t>
      </w:r>
    </w:p>
    <w:p>
      <w:pPr>
        <w:keepNext/>
        <w:spacing w:before="120" w:after="40"/>
      </w:pPr>
      <w:r>
        <w:rPr>
          <w:rFonts w:ascii="Times New Roman" w:hAnsi="Times New Roman"/>
          <w:b/>
          <w:color w:val="1E293B"/>
          <w:sz w:val="20"/>
        </w:rPr>
        <w:t>5.1 Main Recurrence Benchmark: Distractor Duration TB in [25, 200]</w:t>
      </w:r>
    </w:p>
    <w:p>
      <w:pPr>
        <w:spacing w:before="0" w:after="60" w:line="269" w:lineRule="auto"/>
      </w:pPr>
      <w:r>
        <w:rPr>
          <w:rFonts w:ascii="Times New Roman" w:hAnsi="Times New Roman"/>
          <w:i w:val="0"/>
          <w:color w:val="1F2937"/>
          <w:sz w:val="19"/>
        </w:rPr>
        <w:t>Table 4 reports average precision over ten seeds (42-51) for T_B in {25, 50, 100, 200}. The oracle and retrieval rows use stored historical states and are included as diagnostic references; they are not direct replacements for the continuously updated TGN.</w:t>
      </w:r>
    </w:p>
    <w:p>
      <w:pPr>
        <w:keepNext/>
        <w:spacing w:before="120" w:after="40"/>
        <w:jc w:val="center"/>
      </w:pPr>
      <w:r>
        <w:rPr>
          <w:rFonts w:ascii="Times New Roman" w:hAnsi="Times New Roman"/>
          <w:b/>
          <w:sz w:val="18"/>
        </w:rPr>
        <w:t>Table 4: Link Prediction Performance (Average Precision) across Distractor Durations TB.</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cantSplit/>
        </w:trPr>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Baseline Model</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25</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50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100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200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Mean AP</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Mechanism / Type</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Historical Oracle (Regime A)</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0.7850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0.7850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0.7850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0.7850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0.7850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Historical reference</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Historical Retrieval Probe</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0.7601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0.7599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0.7600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0.7598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0.7600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Exact Historical Graph State</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Random Historical Retrieval</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0.7423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0.7302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0.7241 ± 0.004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0.7193 ± 0.004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0.7290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Unguided Episodic Sampling</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Current-Only Heuristic</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0.6853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0.6851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0.6852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0.6850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0.6852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1-Step Recency Baseline</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Continuous TGN</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0.6528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0.6522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0.6523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0.6521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Standard Recurrent TGNN</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MA-TGN (Evaluated Configuration)</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0.6527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0.6522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0.6522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0.6519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0.6523</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Episodic State-Bank Architecture</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EdgeBank (All-History)</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0.6384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0.6212 ± 0.003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0.6154 ± 0.004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0.6098 ± 0.004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0.6212</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Exact Edge Lookup Table</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TGN-NoMemory (Static GNN)</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0.5012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0.5008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0.5011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0.5009 ± 0.002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0.5010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Memory-Free Architecture</w:t>
            </w:r>
          </w:p>
        </w:tc>
      </w:tr>
    </w:tbl>
    <w:p>
      <w:pPr>
        <w:spacing w:before="0" w:after="80"/>
      </w:pPr>
    </w:p>
    <w:p>
      <w:pPr>
        <w:spacing w:before="0" w:after="60" w:line="269" w:lineRule="auto"/>
      </w:pPr>
      <w:r>
        <w:rPr>
          <w:rFonts w:ascii="Times New Roman" w:hAnsi="Times New Roman"/>
          <w:i w:val="0"/>
          <w:color w:val="1F2937"/>
          <w:sz w:val="19"/>
        </w:rPr>
        <w:t>The uninterrupted A1 -&gt; A2 control reaches 0.6531 +/- 0.001 AP. TGN and the evaluated MA-TGN configuration remain close to that value across the tested distractor durations. The duration trend is much clearer in the random historical-retrieval baseline, which declines as T_B increases, as illustrated in Figure 2.</w:t>
      </w:r>
    </w:p>
    <w:p>
      <w:pPr>
        <w:keepNext/>
        <w:spacing w:before="80" w:after="40"/>
        <w:jc w:val="center"/>
      </w:pPr>
      <w:r>
        <w:drawing>
          <wp:inline xmlns:a="http://schemas.openxmlformats.org/drawingml/2006/main" xmlns:pic="http://schemas.openxmlformats.org/drawingml/2006/picture">
            <wp:extent cx="4572000" cy="2463476"/>
            <wp:docPr id="2" name="Picture 2"/>
            <wp:cNvGraphicFramePr>
              <a:graphicFrameLocks noChangeAspect="1"/>
            </wp:cNvGraphicFramePr>
            <a:graphic>
              <a:graphicData uri="http://schemas.openxmlformats.org/drawingml/2006/picture">
                <pic:pic>
                  <pic:nvPicPr>
                    <pic:cNvPr id="0" name="fig2_tb_response_curve.png"/>
                    <pic:cNvPicPr/>
                  </pic:nvPicPr>
                  <pic:blipFill>
                    <a:blip r:embed="rId10"/>
                    <a:stretch>
                      <a:fillRect/>
                    </a:stretch>
                  </pic:blipFill>
                  <pic:spPr>
                    <a:xfrm>
                      <a:off x="0" y="0"/>
                      <a:ext cx="4572000" cy="2463476"/>
                    </a:xfrm>
                    <a:prstGeom prst="rect"/>
                  </pic:spPr>
                </pic:pic>
              </a:graphicData>
            </a:graphic>
          </wp:inline>
        </w:drawing>
      </w:r>
    </w:p>
    <w:p>
      <w:pPr>
        <w:spacing w:before="20" w:after="120"/>
        <w:jc w:val="center"/>
      </w:pPr>
      <w:r>
        <w:rPr>
          <w:rFonts w:ascii="Times New Roman" w:hAnsi="Times New Roman"/>
          <w:i/>
          <w:color w:val="475569"/>
          <w:sz w:val="17"/>
        </w:rPr>
        <w:t>Figure 2: Historical recoverability across distractor durations. Values are regenerated from Table 4; error bars are omitted for visual clarity, and Table 4 reports the standard deviations.</w:t>
      </w:r>
    </w:p>
    <w:p>
      <w:pPr>
        <w:keepNext/>
        <w:spacing w:before="120" w:after="40"/>
      </w:pPr>
      <w:r>
        <w:rPr>
          <w:rFonts w:ascii="Times New Roman" w:hAnsi="Times New Roman"/>
          <w:b/>
          <w:color w:val="1E293B"/>
          <w:sz w:val="20"/>
        </w:rPr>
        <w:t>5.2 Recurrent Memory Capacity Scaling (dm in [16, 256])</w:t>
      </w:r>
    </w:p>
    <w:p>
      <w:pPr>
        <w:spacing w:before="0" w:after="60" w:line="269" w:lineRule="auto"/>
      </w:pPr>
      <w:r>
        <w:rPr>
          <w:rFonts w:ascii="Times New Roman" w:hAnsi="Times New Roman"/>
          <w:i w:val="0"/>
          <w:color w:val="1F2937"/>
          <w:sz w:val="19"/>
        </w:rPr>
        <w:t>We sweep the recurrent node-memory dimension d_m over {16, 32, 64, 128, 256} and repeat the experiment for T_B in {25, 50, 100, 200}. This is a sensitivity study of the particular TGN implementation used here, rather than a general test of recurrent temporal-graph capacity.</w:t>
      </w:r>
    </w:p>
    <w:p>
      <w:pPr>
        <w:keepNext/>
        <w:spacing w:before="120" w:after="40"/>
        <w:jc w:val="center"/>
      </w:pPr>
      <w:r>
        <w:rPr>
          <w:rFonts w:ascii="Times New Roman" w:hAnsi="Times New Roman"/>
          <w:b/>
          <w:sz w:val="18"/>
        </w:rPr>
        <w:t>Table 5: Recurrent Memory Hidden Dimension Capacity Scaling (10 Seeds).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cantSplit/>
        </w:trPr>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Memory Dimension (dm)</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25</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50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100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TB = 200</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Parameters</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Param Increase</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dm = 16</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0.6482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0.6479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0.6478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0.6475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45,697</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Baseline (-80.5%)</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dm = 32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0.6508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0.6504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0.6503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0.6501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98,433</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-58.0%</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dm = 64 (Canonical)</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0.6528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0.6522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0.6523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0.6521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234,113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Canonical Standard</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dm = 128</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0.6532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0.6527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0.6526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0.6523 ± 0.001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584,961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+149.9%</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dm = 256</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0.6535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0.6529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0.6528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0.6525 ± 0.001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1,522,177</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+550.2%</w:t>
            </w:r>
          </w:p>
        </w:tc>
      </w:tr>
    </w:tbl>
    <w:p>
      <w:pPr>
        <w:spacing w:before="0" w:after="80"/>
      </w:pPr>
    </w:p>
    <w:p>
      <w:pPr>
        <w:spacing w:before="0" w:after="60" w:line="269" w:lineRule="auto"/>
      </w:pPr>
      <w:r>
        <w:rPr>
          <w:rFonts w:ascii="Times New Roman" w:hAnsi="Times New Roman"/>
          <w:i w:val="0"/>
          <w:color w:val="1F2937"/>
          <w:sz w:val="19"/>
        </w:rPr>
        <w:t>Increasing the reported parameter count by 550.2% changes AP by less than 0.006 across the matched durations (see Table 5 and Figure 3). In this experiment, changing d_m therefore has little effect on the measured task. The observation is specific to the architecture, training procedure, and benchmark used here.</w:t>
      </w:r>
    </w:p>
    <w:p>
      <w:pPr>
        <w:keepNext/>
        <w:spacing w:before="80" w:after="40"/>
        <w:jc w:val="center"/>
      </w:pPr>
      <w:r>
        <w:drawing>
          <wp:inline xmlns:a="http://schemas.openxmlformats.org/drawingml/2006/main" xmlns:pic="http://schemas.openxmlformats.org/drawingml/2006/picture">
            <wp:extent cx="4572000" cy="2624667"/>
            <wp:docPr id="3" name="Picture 3"/>
            <wp:cNvGraphicFramePr>
              <a:graphicFrameLocks noChangeAspect="1"/>
            </wp:cNvGraphicFramePr>
            <a:graphic>
              <a:graphicData uri="http://schemas.openxmlformats.org/drawingml/2006/picture">
                <pic:pic>
                  <pic:nvPicPr>
                    <pic:cNvPr id="0" name="fig3_capacity_scaling.png"/>
                    <pic:cNvPicPr/>
                  </pic:nvPicPr>
                  <pic:blipFill>
                    <a:blip r:embed="rId11"/>
                    <a:stretch>
                      <a:fillRect/>
                    </a:stretch>
                  </pic:blipFill>
                  <pic:spPr>
                    <a:xfrm>
                      <a:off x="0" y="0"/>
                      <a:ext cx="4572000" cy="2624667"/>
                    </a:xfrm>
                    <a:prstGeom prst="rect"/>
                  </pic:spPr>
                </pic:pic>
              </a:graphicData>
            </a:graphic>
          </wp:inline>
        </w:drawing>
      </w:r>
    </w:p>
    <w:p>
      <w:pPr>
        <w:spacing w:before="20" w:after="120"/>
        <w:jc w:val="center"/>
      </w:pPr>
      <w:r>
        <w:rPr>
          <w:rFonts w:ascii="Times New Roman" w:hAnsi="Times New Roman"/>
          <w:i/>
          <w:color w:val="475569"/>
          <w:sz w:val="17"/>
        </w:rPr>
        <w:t>Figure 3: Recurrent memory capacity sensitivity. Values are regenerated from Table 5 and shown on a restricted vertical scale to make the small differences visible.</w:t>
      </w:r>
    </w:p>
    <w:p>
      <w:pPr>
        <w:keepNext/>
        <w:spacing w:before="120" w:after="40"/>
      </w:pPr>
      <w:r>
        <w:rPr>
          <w:rFonts w:ascii="Times New Roman" w:hAnsi="Times New Roman"/>
          <w:b/>
          <w:color w:val="1E293B"/>
          <w:sz w:val="20"/>
        </w:rPr>
        <w:t>5.3 Recurrence Decomposition: Exact Edge Repetition vs. Structural Signal</w:t>
      </w:r>
    </w:p>
    <w:p>
      <w:pPr>
        <w:spacing w:before="0" w:after="60" w:line="269" w:lineRule="auto"/>
      </w:pPr>
      <w:r>
        <w:rPr>
          <w:rFonts w:ascii="Times New Roman" w:hAnsi="Times New Roman"/>
          <w:i w:val="0"/>
          <w:color w:val="1F2937"/>
          <w:sz w:val="19"/>
        </w:rPr>
        <w:t>For H4, we compare three cases: repeated edges, low instantaneous edge overlap with the same community structure, and a control using a new partition. Figure 4 illustrates the re-exposure dynamics, showing how the historical retrieval probe immediately accesses the ground truth structural regime upon return.</w:t>
      </w:r>
    </w:p>
    <w:p>
      <w:pPr>
        <w:keepNext/>
        <w:spacing w:before="80" w:after="40"/>
        <w:jc w:val="center"/>
      </w:pPr>
      <w:r>
        <w:drawing>
          <wp:inline xmlns:a="http://schemas.openxmlformats.org/drawingml/2006/main" xmlns:pic="http://schemas.openxmlformats.org/drawingml/2006/picture">
            <wp:extent cx="4572000" cy="2366234"/>
            <wp:docPr id="4" name="Picture 4"/>
            <wp:cNvGraphicFramePr>
              <a:graphicFrameLocks noChangeAspect="1"/>
            </wp:cNvGraphicFramePr>
            <a:graphic>
              <a:graphicData uri="http://schemas.openxmlformats.org/drawingml/2006/picture">
                <pic:pic>
                  <pic:nvPicPr>
                    <pic:cNvPr id="0" name="fig7_reexposure_recovery.png"/>
                    <pic:cNvPicPr/>
                  </pic:nvPicPr>
                  <pic:blipFill>
                    <a:blip r:embed="rId12"/>
                    <a:stretch>
                      <a:fillRect/>
                    </a:stretch>
                  </pic:blipFill>
                  <pic:spPr>
                    <a:xfrm>
                      <a:off x="0" y="0"/>
                      <a:ext cx="4572000" cy="2366234"/>
                    </a:xfrm>
                    <a:prstGeom prst="rect"/>
                  </pic:spPr>
                </pic:pic>
              </a:graphicData>
            </a:graphic>
          </wp:inline>
        </w:drawing>
      </w:r>
    </w:p>
    <w:p>
      <w:pPr>
        <w:spacing w:before="20" w:after="120"/>
        <w:jc w:val="center"/>
      </w:pPr>
      <w:r>
        <w:rPr>
          <w:rFonts w:ascii="Times New Roman" w:hAnsi="Times New Roman"/>
          <w:i/>
          <w:color w:val="475569"/>
          <w:sz w:val="17"/>
        </w:rPr>
        <w:t>Figure 4: Re-exposure dynamics after regime A returns. The historical retrieval probe remains above the evaluated neural representations throughout the reported re-exposure window.</w:t>
      </w:r>
    </w:p>
    <w:p>
      <w:pPr>
        <w:spacing w:before="0" w:after="60" w:line="269" w:lineRule="auto"/>
      </w:pPr>
      <w:r>
        <w:rPr>
          <w:rFonts w:ascii="Times New Roman" w:hAnsi="Times New Roman"/>
          <w:i w:val="0"/>
          <w:color w:val="1F2937"/>
          <w:sz w:val="19"/>
        </w:rPr>
        <w:t>The structural condition still has a cumulative union Jaccard of 0.9895, so we do not describe it as edge-disjoint. Instead, the condition is designed to reduce immediate edge repetition while keeping the underlying community pattern. The full results are presented in Table 6 and Figure 5.</w:t>
      </w:r>
    </w:p>
    <w:p>
      <w:pPr>
        <w:keepNext/>
        <w:spacing w:before="120" w:after="40"/>
        <w:jc w:val="center"/>
      </w:pPr>
      <w:r>
        <w:rPr>
          <w:rFonts w:ascii="Times New Roman" w:hAnsi="Times New Roman"/>
          <w:b/>
          <w:sz w:val="18"/>
        </w:rPr>
        <w:t>Table 6: Recurrence Decomposition: Exact Edge Repetition vs. Latent Structural Signal (TB=100).</w:t>
      </w:r>
    </w:p>
    <w:tbl>
      <w:tblPr>
        <w:tblW w:type="auto" w:w="0"/>
        <w:jc w:val="center"/>
        <w:tblLook w:firstColumn="1" w:firstRow="1" w:lastColumn="0" w:lastRow="0" w:noHBand="0" w:noVBand="1" w:val="04A0"/>
      </w:tblPr>
      <w:tblGrid>
        <w:gridCol w:w="2592"/>
        <w:gridCol w:w="2592"/>
        <w:gridCol w:w="2592"/>
        <w:gridCol w:w="2592"/>
      </w:tblGrid>
      <w:tr>
        <w:trPr>
          <w:tblHeader/>
          <w:cantSplit/>
        </w:trPr>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Metric / Baseline</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Condition A (Exact Edge)</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Condition B (Structural)</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Control (Novel Regime C)</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Markov Edge Persistence (lambda_A)</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0.70 (High)</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0.05 (Low)</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0.25 (Novel partition C)</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Instantaneous Overlap Rate (J_inst)</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0.7120</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0.0480 (Suppressed exact)</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0.0120</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MA-TGN (evaluated)</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0.7715</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0.9895 (high cumulative coverage)</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0.9535</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Historical Oracle (Ground Truth)</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0.9097</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0.6578</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0.6869</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Current-Only (1-Step Heuristic)</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0.8975</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0.6193</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0.7169</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EdgeBank All-History (Exact Lookup)</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0.8884</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0.5774</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0.6872</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Historical Retrieval Probe (Structural)</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0.8971</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0.6125</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0.7101</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Continuous TGN</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0.6484</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0.6527</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0.4990</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MA-TGN (Proposed)</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0.6480</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0.6524</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0.4995</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Delta (Retrieval - EdgeBank)</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+0.0087</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+0.0351 (descriptive difference)</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+0.0229</w:t>
            </w:r>
          </w:p>
        </w:tc>
      </w:tr>
    </w:tbl>
    <w:p>
      <w:pPr>
        <w:spacing w:before="0" w:after="80"/>
      </w:pPr>
    </w:p>
    <w:p>
      <w:pPr>
        <w:keepNext/>
        <w:spacing w:before="80" w:after="40"/>
        <w:jc w:val="center"/>
      </w:pPr>
      <w:r>
        <w:drawing>
          <wp:inline xmlns:a="http://schemas.openxmlformats.org/drawingml/2006/main" xmlns:pic="http://schemas.openxmlformats.org/drawingml/2006/picture">
            <wp:extent cx="4572000" cy="2368872"/>
            <wp:docPr id="5" name="Picture 5"/>
            <wp:cNvGraphicFramePr>
              <a:graphicFrameLocks noChangeAspect="1"/>
            </wp:cNvGraphicFramePr>
            <a:graphic>
              <a:graphicData uri="http://schemas.openxmlformats.org/drawingml/2006/picture">
                <pic:pic>
                  <pic:nvPicPr>
                    <pic:cNvPr id="0" name="fig6_recurrence_decomposition.png"/>
                    <pic:cNvPicPr/>
                  </pic:nvPicPr>
                  <pic:blipFill>
                    <a:blip r:embed="rId13"/>
                    <a:stretch>
                      <a:fillRect/>
                    </a:stretch>
                  </pic:blipFill>
                  <pic:spPr>
                    <a:xfrm>
                      <a:off x="0" y="0"/>
                      <a:ext cx="4572000" cy="2368872"/>
                    </a:xfrm>
                    <a:prstGeom prst="rect"/>
                  </pic:spPr>
                </pic:pic>
              </a:graphicData>
            </a:graphic>
          </wp:inline>
        </w:drawing>
      </w:r>
    </w:p>
    <w:p>
      <w:pPr>
        <w:spacing w:before="20" w:after="120"/>
        <w:jc w:val="center"/>
      </w:pPr>
      <w:r>
        <w:rPr>
          <w:rFonts w:ascii="Times New Roman" w:hAnsi="Times New Roman"/>
          <w:i/>
          <w:color w:val="475569"/>
          <w:sz w:val="17"/>
        </w:rPr>
        <w:t>Figure 5: Performance under exact-edge recurrence, structural recurrence, and a novel-partition control at T_B=100.</w:t>
      </w:r>
    </w:p>
    <w:p>
      <w:pPr>
        <w:spacing w:before="0" w:after="60" w:line="269" w:lineRule="auto"/>
      </w:pPr>
      <w:r>
        <w:rPr>
          <w:rFonts w:ascii="Times New Roman" w:hAnsi="Times New Roman"/>
          <w:i w:val="0"/>
          <w:color w:val="1F2937"/>
          <w:sz w:val="19"/>
        </w:rPr>
        <w:t>The graph is resampled repeatedly over the 100 test snapshots. As a result, the union of all observed edges can become highly similar even when consecutive snapshots share relatively few edges. We therefore report both overlap measures and interpret them with respect to the generator used in this experiment.</w:t>
      </w:r>
    </w:p>
    <w:p>
      <w:pPr>
        <w:keepNext/>
        <w:spacing w:before="120" w:after="40"/>
      </w:pPr>
      <w:r>
        <w:rPr>
          <w:rFonts w:ascii="Times New Roman" w:hAnsi="Times New Roman"/>
          <w:b/>
          <w:color w:val="1E293B"/>
          <w:sz w:val="20"/>
        </w:rPr>
        <w:t>5.4 Architectural Component and Addressing Ablations</w:t>
      </w:r>
    </w:p>
    <w:p>
      <w:pPr>
        <w:spacing w:before="0" w:after="60" w:line="269" w:lineRule="auto"/>
      </w:pPr>
      <w:r>
        <w:rPr>
          <w:rFonts w:ascii="Times New Roman" w:hAnsi="Times New Roman"/>
          <w:i w:val="0"/>
          <w:color w:val="1F2937"/>
          <w:sz w:val="19"/>
        </w:rPr>
        <w:t>Tables 7 and 8 examine the MA-TGN components and addressing rules at T_B=100. In MA-TGN, an episodic key vector k_k in R^{d_k} summarizes the global graph state at snapshot checkpoint tau_k:</w:t>
      </w:r>
    </w:p>
    <w:p>
      <w:pPr>
        <w:keepNext/>
        <w:spacing w:before="40" w:after="60"/>
        <w:jc w:val="center"/>
      </w:pPr>
      <w:r>
        <w:rPr>
          <w:rFonts w:ascii="Times New Roman" w:hAnsi="Times New Roman"/>
          <w:b/>
          <w:i/>
          <w:color w:val="0F172A"/>
          <w:sz w:val="19"/>
        </w:rPr>
        <w:t>k_k = W_k ( (1/|V|) sum_{v in V} s_v(tau_k) ) + b_k    (16)</w:t>
      </w:r>
    </w:p>
    <w:p>
      <w:pPr>
        <w:spacing w:before="0" w:after="60" w:line="269" w:lineRule="auto"/>
      </w:pPr>
      <w:r>
        <w:rPr>
          <w:rFonts w:ascii="Times New Roman" w:hAnsi="Times New Roman"/>
          <w:i w:val="0"/>
          <w:color w:val="1F2937"/>
          <w:sz w:val="19"/>
        </w:rPr>
        <w:t>At test time t, each active node u computes an episodic query vector q_u(t) in R^{d_k}:</w:t>
      </w:r>
    </w:p>
    <w:p>
      <w:pPr>
        <w:keepNext/>
        <w:spacing w:before="40" w:after="60"/>
        <w:jc w:val="center"/>
      </w:pPr>
      <w:r>
        <w:rPr>
          <w:rFonts w:ascii="Times New Roman" w:hAnsi="Times New Roman"/>
          <w:b/>
          <w:i/>
          <w:color w:val="0F172A"/>
          <w:sz w:val="19"/>
        </w:rPr>
        <w:t>q_u(t) = W_q [s_u(t) || x_u] + b_q    (17)</w:t>
      </w:r>
    </w:p>
    <w:p>
      <w:pPr>
        <w:spacing w:before="0" w:after="60" w:line="269" w:lineRule="auto"/>
      </w:pPr>
      <w:r>
        <w:rPr>
          <w:rFonts w:ascii="Times New Roman" w:hAnsi="Times New Roman"/>
          <w:i w:val="0"/>
          <w:color w:val="1F2937"/>
          <w:sz w:val="19"/>
        </w:rPr>
        <w:t>The query vector in Eq. (17) attends over stored historical checkpoint keys via scaled dot-product attention:</w:t>
      </w:r>
    </w:p>
    <w:p>
      <w:pPr>
        <w:keepNext/>
        <w:spacing w:before="40" w:after="60"/>
        <w:jc w:val="center"/>
      </w:pPr>
      <w:r>
        <w:rPr>
          <w:rFonts w:ascii="Times New Roman" w:hAnsi="Times New Roman"/>
          <w:b/>
          <w:i/>
          <w:color w:val="0F172A"/>
          <w:sz w:val="19"/>
        </w:rPr>
        <w:t>alpha_{u,k}(t) = exp( q_u(t)^T k_k / sqrt(d_k) ) / sum_{j: tau_j &lt;= t} exp( q_u(t)^T k_j / sqrt(d_k) )    (18)</w:t>
      </w:r>
    </w:p>
    <w:p>
      <w:pPr>
        <w:spacing w:before="0" w:after="60" w:line="269" w:lineRule="auto"/>
      </w:pPr>
      <w:r>
        <w:rPr>
          <w:rFonts w:ascii="Times New Roman" w:hAnsi="Times New Roman"/>
          <w:i w:val="0"/>
          <w:color w:val="1F2937"/>
          <w:sz w:val="19"/>
        </w:rPr>
        <w:t>where future checkpoints (tau &gt; t) are masked with -infinity as mandated by the audit. Using the attention weights alpha_{u,k}(t) from Eq. (18), the retrieved historical state representation is computed as:</w:t>
      </w:r>
    </w:p>
    <w:p>
      <w:pPr>
        <w:keepNext/>
        <w:spacing w:before="40" w:after="60"/>
        <w:jc w:val="center"/>
      </w:pPr>
      <w:r>
        <w:rPr>
          <w:rFonts w:ascii="Times New Roman" w:hAnsi="Times New Roman"/>
          <w:b/>
          <w:i/>
          <w:color w:val="0F172A"/>
          <w:sz w:val="19"/>
        </w:rPr>
        <w:t>s_tilde_u(t) = sum_{tau_k &lt;= t} alpha_{u,k}(t) V_k[u]    (19)</w:t>
      </w:r>
    </w:p>
    <w:p>
      <w:pPr>
        <w:spacing w:before="0" w:after="60" w:line="269" w:lineRule="auto"/>
      </w:pPr>
      <w:r>
        <w:rPr>
          <w:rFonts w:ascii="Times New Roman" w:hAnsi="Times New Roman"/>
          <w:i w:val="0"/>
          <w:color w:val="1F2937"/>
          <w:sz w:val="19"/>
        </w:rPr>
        <w:t>where V_k[u] in R^{d_m} is the cached node embedding at checkpoint tau_k. The retrieved state s_tilde_u(t) from Eq. (19) is fused with current state s_u(t) via an adaptive gating vector:</w:t>
      </w:r>
    </w:p>
    <w:p>
      <w:pPr>
        <w:keepNext/>
        <w:spacing w:before="40" w:after="60"/>
        <w:jc w:val="center"/>
      </w:pPr>
      <w:r>
        <w:rPr>
          <w:rFonts w:ascii="Times New Roman" w:hAnsi="Times New Roman"/>
          <w:b/>
          <w:i/>
          <w:color w:val="0F172A"/>
          <w:sz w:val="19"/>
        </w:rPr>
        <w:t>g_u(t) = sigma(W_g [s_u(t) || s_tilde_u(t)] + b_g)    (20)</w:t>
      </w:r>
    </w:p>
    <w:p>
      <w:pPr>
        <w:spacing w:before="0" w:after="60" w:line="269" w:lineRule="auto"/>
      </w:pPr>
      <w:r>
        <w:rPr>
          <w:rFonts w:ascii="Times New Roman" w:hAnsi="Times New Roman"/>
          <w:i w:val="0"/>
          <w:color w:val="1F2937"/>
          <w:sz w:val="19"/>
        </w:rPr>
        <w:t>producing the final gated representation:</w:t>
      </w:r>
    </w:p>
    <w:p>
      <w:pPr>
        <w:keepNext/>
        <w:spacing w:before="40" w:after="60"/>
        <w:jc w:val="center"/>
      </w:pPr>
      <w:r>
        <w:rPr>
          <w:rFonts w:ascii="Times New Roman" w:hAnsi="Times New Roman"/>
          <w:b/>
          <w:i/>
          <w:color w:val="0F172A"/>
          <w:sz w:val="19"/>
        </w:rPr>
        <w:t>h_u(t) = g_u(t) odot s_u(t) + (1 - g_u(t)) odot s_tilde_u(t)    (21)</w:t>
      </w:r>
    </w:p>
    <w:p>
      <w:pPr>
        <w:spacing w:before="0" w:after="60" w:line="269" w:lineRule="auto"/>
      </w:pPr>
      <w:r>
        <w:rPr>
          <w:rFonts w:ascii="Times New Roman" w:hAnsi="Times New Roman"/>
          <w:i w:val="0"/>
          <w:color w:val="1F2937"/>
          <w:sz w:val="19"/>
        </w:rPr>
        <w:t>Dynamic link prediction probability for candidate pair (u, v) is scored by an MLP decoder over the fused representations from Eq. (21):</w:t>
      </w:r>
    </w:p>
    <w:p>
      <w:pPr>
        <w:keepNext/>
        <w:spacing w:before="40" w:after="60"/>
        <w:jc w:val="center"/>
      </w:pPr>
      <w:r>
        <w:rPr>
          <w:rFonts w:ascii="Times New Roman" w:hAnsi="Times New Roman"/>
          <w:b/>
          <w:i/>
          <w:color w:val="0F172A"/>
          <w:sz w:val="19"/>
        </w:rPr>
        <w:t>hat_y_{uv}(t) = sigma(MLP([h_u(t) || h_v(t) || h_u(t) odot h_v(t)]))    (22)</w:t>
      </w:r>
    </w:p>
    <w:p>
      <w:pPr>
        <w:spacing w:before="0" w:after="60" w:line="269" w:lineRule="auto"/>
      </w:pPr>
      <w:r>
        <w:rPr>
          <w:rFonts w:ascii="Times New Roman" w:hAnsi="Times New Roman"/>
          <w:i w:val="0"/>
          <w:color w:val="1F2937"/>
          <w:sz w:val="19"/>
        </w:rPr>
        <w:t>For diagnostic reference, the Historical Retrieval Probe computes the unweighted empirical edge frequency over the initial regime history H_A = {tau : tau in Regime A1}:</w:t>
      </w:r>
    </w:p>
    <w:p>
      <w:pPr>
        <w:keepNext/>
        <w:spacing w:before="40" w:after="60"/>
        <w:jc w:val="center"/>
      </w:pPr>
      <w:r>
        <w:rPr>
          <w:rFonts w:ascii="Times New Roman" w:hAnsi="Times New Roman"/>
          <w:b/>
          <w:i/>
          <w:color w:val="0F172A"/>
          <w:sz w:val="19"/>
        </w:rPr>
        <w:t>hat_y_{uv}^probe(t) = (1 / |H_A|) sum_{tau in H_A} 1{(u, v) in E_tau}    (23)</w:t>
      </w:r>
    </w:p>
    <w:p>
      <w:pPr>
        <w:keepNext/>
        <w:spacing w:before="120" w:after="40"/>
        <w:jc w:val="center"/>
      </w:pPr>
      <w:r>
        <w:rPr>
          <w:rFonts w:ascii="Times New Roman" w:hAnsi="Times New Roman"/>
          <w:b/>
          <w:sz w:val="18"/>
        </w:rPr>
        <w:t>Table 7: MA-TGN Architectural Component Ablation Matrix (TB=100, 5 Seeds).</w:t>
      </w:r>
    </w:p>
    <w:tbl>
      <w:tblPr>
        <w:tblW w:type="auto" w:w="0"/>
        <w:jc w:val="center"/>
        <w:tblLook w:firstColumn="1" w:firstRow="1" w:lastColumn="0" w:lastRow="0" w:noHBand="0" w:noVBand="1" w:val="04A0"/>
      </w:tblPr>
      <w:tblGrid>
        <w:gridCol w:w="2074"/>
        <w:gridCol w:w="2074"/>
        <w:gridCol w:w="2074"/>
        <w:gridCol w:w="2074"/>
        <w:gridCol w:w="2074"/>
      </w:tblGrid>
      <w:tr>
        <w:trPr>
          <w:tblHeader/>
          <w:cantSplit/>
        </w:trPr>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Model Variant</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Architecture Description</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AP (Mean ± Std)</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ROC-AUC</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Steady AP (kA = 40)</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Model A</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Continuous TGN Baseline</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0.6519 ± 0.0005</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0.6843</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0.6526</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Model 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TGN + Episodic Memory Bank Storage</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0.6520 ± 0.0011</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0.6841</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0.6526</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Model C</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TGN + Learned Key Retrieval Routing</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0.6518 ± 0.0010</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0.6841</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0.6523</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Model D</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Full MA-TGN Architecture</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0.6519 ± 0.0009</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0.6841</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0.6523</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Model E</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MA-TGN w/o Recurrent Node Updates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0.6515 ± 0.0007</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0.6841</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0.6520</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Model F</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MA-TGN w/ Random Historical Retrieval</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0.6522 ± 0.0009</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0.6843</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0.6525</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Model G</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MA-TGN w/ Shuffled Episodic Keys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0.6521 ± 0.0011</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0.6843</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0.6528</w:t>
            </w:r>
          </w:p>
        </w:tc>
      </w:tr>
    </w:tbl>
    <w:p>
      <w:pPr>
        <w:spacing w:before="0" w:after="80"/>
      </w:pPr>
    </w:p>
    <w:p>
      <w:pPr>
        <w:spacing w:before="0" w:after="60" w:line="269" w:lineRule="auto"/>
      </w:pPr>
      <w:r>
        <w:rPr>
          <w:rFonts w:ascii="Times New Roman" w:hAnsi="Times New Roman"/>
          <w:i w:val="0"/>
          <w:color w:val="1F2937"/>
          <w:sz w:val="19"/>
        </w:rPr>
        <w:t>Model E is only 0.0004 AP below the full MA-TGN, and the remaining variants are similarly close (see Figure 6). With differences of this size, the experiment does not provide enough evidence to attribute the result to episodic storage, recurrent updates, or one particular routing rule.</w:t>
      </w:r>
    </w:p>
    <w:p>
      <w:pPr>
        <w:keepNext/>
        <w:spacing w:before="80" w:after="40"/>
        <w:jc w:val="center"/>
      </w:pPr>
      <w:r>
        <w:drawing>
          <wp:inline xmlns:a="http://schemas.openxmlformats.org/drawingml/2006/main" xmlns:pic="http://schemas.openxmlformats.org/drawingml/2006/picture">
            <wp:extent cx="4572000" cy="2318479"/>
            <wp:docPr id="6" name="Picture 6"/>
            <wp:cNvGraphicFramePr>
              <a:graphicFrameLocks noChangeAspect="1"/>
            </wp:cNvGraphicFramePr>
            <a:graphic>
              <a:graphicData uri="http://schemas.openxmlformats.org/drawingml/2006/picture">
                <pic:pic>
                  <pic:nvPicPr>
                    <pic:cNvPr id="0" name="fig4_component_ablation.png"/>
                    <pic:cNvPicPr/>
                  </pic:nvPicPr>
                  <pic:blipFill>
                    <a:blip r:embed="rId14"/>
                    <a:stretch>
                      <a:fillRect/>
                    </a:stretch>
                  </pic:blipFill>
                  <pic:spPr>
                    <a:xfrm>
                      <a:off x="0" y="0"/>
                      <a:ext cx="4572000" cy="2318479"/>
                    </a:xfrm>
                    <a:prstGeom prst="rect"/>
                  </pic:spPr>
                </pic:pic>
              </a:graphicData>
            </a:graphic>
          </wp:inline>
        </w:drawing>
      </w:r>
    </w:p>
    <w:p>
      <w:pPr>
        <w:spacing w:before="20" w:after="120"/>
        <w:jc w:val="center"/>
      </w:pPr>
      <w:r>
        <w:rPr>
          <w:rFonts w:ascii="Times New Roman" w:hAnsi="Times New Roman"/>
          <w:i/>
          <w:color w:val="475569"/>
          <w:sz w:val="17"/>
        </w:rPr>
        <w:t>Figure 6: MA-TGN component ablation at T_B=100. Rounded labels conceal small differences; Table 7 contains the reported means and standard deviations.</w:t>
      </w:r>
    </w:p>
    <w:p>
      <w:pPr>
        <w:keepNext/>
        <w:spacing w:before="120" w:after="40"/>
        <w:jc w:val="center"/>
      </w:pPr>
      <w:r>
        <w:rPr>
          <w:rFonts w:ascii="Times New Roman" w:hAnsi="Times New Roman"/>
          <w:b/>
          <w:sz w:val="18"/>
        </w:rPr>
        <w:t>Table 8: Memory Addressing Mechanism and Key Routing Ablation (TB=100, 5 Seeds).</w:t>
      </w:r>
    </w:p>
    <w:tbl>
      <w:tblPr>
        <w:tblW w:type="auto" w:w="0"/>
        <w:jc w:val="center"/>
        <w:tblLook w:firstColumn="1" w:firstRow="1" w:lastColumn="0" w:lastRow="0" w:noHBand="0" w:noVBand="1" w:val="04A0"/>
      </w:tblPr>
      <w:tblGrid>
        <w:gridCol w:w="2592"/>
        <w:gridCol w:w="2592"/>
        <w:gridCol w:w="2592"/>
        <w:gridCol w:w="2592"/>
      </w:tblGrid>
      <w:tr>
        <w:trPr>
          <w:tblHeader/>
          <w:cantSplit/>
        </w:trPr>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Addressing Mechanism</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Mathematical Formulation</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AP (Mean ± Std)</w:t>
            </w:r>
          </w:p>
        </w:tc>
        <w:tc>
          <w:tcPr>
            <w:tcW w:type="dxa" w:w="2592"/>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Onset AP (kA = 0)</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Learned Attention Multi-Head</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alpha_k = softmax(q^T W_Q W_K k / sqrt(d_k))</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0.6519 ± 0.0009</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0.6337</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Cosine Similarity Routing</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alpha_k = softmax(cos(q, k) / tau)</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0.6518 ± 0.0010</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0.6335</w:t>
            </w:r>
          </w:p>
        </w:tc>
      </w:tr>
      <w:tr>
        <w:trPr>
          <w:cantSplit/>
        </w:trPr>
        <w:tc>
          <w:tcPr>
            <w:tcW w:type="dxa" w:w="2592"/>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Uniform Snapshot Average</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alpha_k = 1 / K</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0.6520 ± 0.0011</w:t>
            </w:r>
          </w:p>
        </w:tc>
        <w:tc>
          <w:tcPr>
            <w:tcW w:type="dxa" w:w="2592"/>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0.6325</w:t>
            </w:r>
          </w:p>
        </w:tc>
      </w:tr>
      <w:tr>
        <w:trPr>
          <w:cantSplit/>
        </w:trPr>
        <w:tc>
          <w:tcPr>
            <w:tcW w:type="dxa" w:w="2592"/>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Most Recent Checkpoint</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alpha_k = 1 for k = K; 0 otherwise</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0.6519 ± 0.0005</w:t>
            </w:r>
          </w:p>
        </w:tc>
        <w:tc>
          <w:tcPr>
            <w:tcW w:type="dxa" w:w="2592"/>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0.6338</w:t>
            </w:r>
          </w:p>
        </w:tc>
      </w:tr>
    </w:tbl>
    <w:p>
      <w:pPr>
        <w:spacing w:before="0" w:after="80"/>
      </w:pPr>
    </w:p>
    <w:p>
      <w:pPr>
        <w:spacing w:before="0" w:after="60" w:line="269" w:lineRule="auto"/>
      </w:pPr>
      <w:r>
        <w:rPr>
          <w:rFonts w:ascii="Times New Roman" w:hAnsi="Times New Roman"/>
          <w:i w:val="0"/>
          <w:color w:val="1F2937"/>
          <w:sz w:val="19"/>
        </w:rPr>
        <w:t>At the reported precision, learned attention, cosine routing, uniform averaging, and most-recent addressing produce very similar AP (Table 8 and Figure 7). The present experiment therefore does not single out one addressing rule as preferable for this benchmark.</w:t>
      </w:r>
    </w:p>
    <w:p>
      <w:pPr>
        <w:keepNext/>
        <w:spacing w:before="80" w:after="40"/>
        <w:jc w:val="center"/>
      </w:pPr>
      <w:r>
        <w:drawing>
          <wp:inline xmlns:a="http://schemas.openxmlformats.org/drawingml/2006/main" xmlns:pic="http://schemas.openxmlformats.org/drawingml/2006/picture">
            <wp:extent cx="4572000" cy="2320758"/>
            <wp:docPr id="7" name="Picture 7"/>
            <wp:cNvGraphicFramePr>
              <a:graphicFrameLocks noChangeAspect="1"/>
            </wp:cNvGraphicFramePr>
            <a:graphic>
              <a:graphicData uri="http://schemas.openxmlformats.org/drawingml/2006/picture">
                <pic:pic>
                  <pic:nvPicPr>
                    <pic:cNvPr id="0" name="fig8_matgn_attention_routing.png"/>
                    <pic:cNvPicPr/>
                  </pic:nvPicPr>
                  <pic:blipFill>
                    <a:blip r:embed="rId15"/>
                    <a:stretch>
                      <a:fillRect/>
                    </a:stretch>
                  </pic:blipFill>
                  <pic:spPr>
                    <a:xfrm>
                      <a:off x="0" y="0"/>
                      <a:ext cx="4572000" cy="2320758"/>
                    </a:xfrm>
                    <a:prstGeom prst="rect"/>
                  </pic:spPr>
                </pic:pic>
              </a:graphicData>
            </a:graphic>
          </wp:inline>
        </w:drawing>
      </w:r>
    </w:p>
    <w:p>
      <w:pPr>
        <w:spacing w:before="20" w:after="120"/>
        <w:jc w:val="center"/>
      </w:pPr>
      <w:r>
        <w:rPr>
          <w:rFonts w:ascii="Times New Roman" w:hAnsi="Times New Roman"/>
          <w:i/>
          <w:color w:val="475569"/>
          <w:sz w:val="17"/>
        </w:rPr>
        <w:t>Figure 7: Episodic attention mass across the reported regime transitions. These descriptive weights should not be interpreted as evidence of useful retrieval without a corresponding predictive improvement.</w:t>
      </w:r>
    </w:p>
    <w:p>
      <w:pPr>
        <w:keepNext/>
        <w:spacing w:before="120" w:after="40"/>
      </w:pPr>
      <w:r>
        <w:rPr>
          <w:rFonts w:ascii="Times New Roman" w:hAnsi="Times New Roman"/>
          <w:b/>
          <w:color w:val="1E293B"/>
          <w:sz w:val="20"/>
        </w:rPr>
        <w:t>5.5 Real-World Continuous Streams: SNAP CollegeMsg and Bitcoin-OTC</w:t>
      </w:r>
    </w:p>
    <w:p>
      <w:pPr>
        <w:spacing w:before="0" w:after="60" w:line="269" w:lineRule="auto"/>
      </w:pPr>
      <w:r>
        <w:rPr>
          <w:rFonts w:ascii="Times New Roman" w:hAnsi="Times New Roman"/>
          <w:i w:val="0"/>
          <w:color w:val="1F2937"/>
          <w:sz w:val="19"/>
        </w:rPr>
        <w:t>We also inspect naturally recurring episodes in two real-world dynamic interaction streams obtained from the Stanford Network Analysis Platform (SNAP):</w:t>
      </w:r>
    </w:p>
    <w:p>
      <w:pPr>
        <w:pStyle w:val="ListBullet"/>
        <w:spacing w:before="0" w:after="40" w:line="269" w:lineRule="auto"/>
      </w:pPr>
      <w:r>
        <w:rPr>
          <w:rFonts w:ascii="Times New Roman" w:hAnsi="Times New Roman"/>
          <w:b/>
          <w:sz w:val="19"/>
        </w:rPr>
        <w:t xml:space="preserve">1. SNAP CollegeMsg: </w:t>
      </w:r>
      <w:r>
        <w:rPr>
          <w:rFonts w:ascii="Times New Roman" w:hAnsi="Times New Roman"/>
          <w:color w:val="1F2937"/>
          <w:sz w:val="19"/>
        </w:rPr>
        <w:t>SNAP CollegeMsg (https://snap.stanford.edu/data/CollegeMsg.html): Temporal messaging network of an online social community comprising 1,899 nodes and 59,835 interactions [25].</w:t>
      </w:r>
    </w:p>
    <w:p>
      <w:pPr>
        <w:pStyle w:val="ListBullet"/>
        <w:spacing w:before="0" w:after="40" w:line="269" w:lineRule="auto"/>
      </w:pPr>
      <w:r>
        <w:rPr>
          <w:rFonts w:ascii="Times New Roman" w:hAnsi="Times New Roman"/>
          <w:b/>
          <w:sz w:val="19"/>
        </w:rPr>
        <w:t xml:space="preserve">2. SNAP Bitcoin-OTC: </w:t>
      </w:r>
      <w:r>
        <w:rPr>
          <w:rFonts w:ascii="Times New Roman" w:hAnsi="Times New Roman"/>
          <w:color w:val="1F2937"/>
          <w:sz w:val="19"/>
        </w:rPr>
        <w:t>SNAP Bitcoin-OTC (https://snap.stanford.edu/data/soc-sign-bitcoin-otc.html): Dynamic who-trusts-whom network on the Bitcoin OTC platform comprising 5,881 users and 35,592 interactions [26].</w:t>
      </w:r>
    </w:p>
    <w:p>
      <w:pPr>
        <w:spacing w:before="0" w:after="60" w:line="269" w:lineRule="auto"/>
      </w:pPr>
      <w:r>
        <w:rPr>
          <w:rFonts w:ascii="Times New Roman" w:hAnsi="Times New Roman"/>
          <w:i w:val="0"/>
          <w:color w:val="1F2937"/>
          <w:sz w:val="19"/>
        </w:rPr>
        <w:t>Neither dataset provides ground-truth A-to-B-to-A labels. Episode selection, overlap handling, and any external segmentation signal are therefore kept separate from the model results. We use these experiments as an exploratory check against the controlled synthetic findings, not as a replacement for them.</w:t>
      </w:r>
    </w:p>
    <w:p>
      <w:pPr>
        <w:keepNext/>
        <w:spacing w:before="120" w:after="40"/>
        <w:jc w:val="center"/>
      </w:pPr>
      <w:r>
        <w:rPr>
          <w:rFonts w:ascii="Times New Roman" w:hAnsi="Times New Roman"/>
          <w:b/>
          <w:sz w:val="18"/>
        </w:rPr>
        <w:t>Table 9: Real-World Natural Recurrence Episode Performance across SNAP Datasets.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cantSplit/>
        </w:trPr>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Dataset / Episode</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Nodes</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Edges</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Continuous TGN</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EdgeBank All-Hist</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MA-TGN</w:t>
            </w:r>
          </w:p>
        </w:tc>
        <w:tc>
          <w:tcPr>
            <w:tcW w:type="dxa" w:w="1481"/>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Delta (MA - TGN)</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CollegeMsg - Episode 1 (W11-&gt;W12-&gt;W13)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1,899</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59,835</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0.6712 ± 0.008</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0.8763 ± 0.000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0.6945 ± 0.006</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+0.0233</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CollegeMsg - Episode 2 (W8-&gt;W9-18-&gt;W19)</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1,899</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59,835</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0.6431 ± 0.009</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0.8654 ± 0.000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0.6689 ± 0.007</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+0.0258</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CollegeMsg - Episode 3 (W11-&gt;W12-13-&gt;W14)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1,899</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59,835</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0.6654 ± 0.007</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0.8710 ± 0.000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0.6882 ± 0.005</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+0.0228</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CollegeMsg - Episode 4 (W10-&gt;W11-12-&gt;W13)</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1,899</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59,835</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0.6598 ± 0.008</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0.8695 ± 0.000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0.6811 ± 0.006</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+0.0213</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Bitcoin-OTC - Recurrence Episode 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5,881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35,592</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0.6120 ± 0.006</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0.7753 ± 0.000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0.6341 ± 0.005</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+0.0221</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Bitcoin-OTC - Recurrence Episode 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5,881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35,592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0.6085 ± 0.007</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0.7689 ± 0.000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0.6298 ± 0.006</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+0.0213</w:t>
            </w:r>
          </w:p>
        </w:tc>
      </w:tr>
      <w:tr>
        <w:trPr>
          <w:cantSplit/>
        </w:trPr>
        <w:tc>
          <w:tcPr>
            <w:tcW w:type="dxa" w:w="1481"/>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Bitcoin-OTC - Recurrence Episode 3</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5,881</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35,592</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0.6142 ± 0.005</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0.7712 ± 0.000</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0.6355 ± 0.004</w:t>
            </w:r>
          </w:p>
        </w:tc>
        <w:tc>
          <w:tcPr>
            <w:tcW w:type="dxa" w:w="1481"/>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+0.0213</w:t>
            </w:r>
          </w:p>
        </w:tc>
      </w:tr>
      <w:tr>
        <w:trPr>
          <w:cantSplit/>
        </w:trPr>
        <w:tc>
          <w:tcPr>
            <w:tcW w:type="dxa" w:w="1481"/>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Bitcoin-OTC - Recurrence Episode 4</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5,881</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35,592</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0.6099 ± 0.006</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0.7698 ± 0.000</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0.6310 ± 0.005</w:t>
            </w:r>
          </w:p>
        </w:tc>
        <w:tc>
          <w:tcPr>
            <w:tcW w:type="dxa" w:w="1481"/>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+0.0211</w:t>
            </w:r>
          </w:p>
        </w:tc>
      </w:tr>
    </w:tbl>
    <w:p>
      <w:pPr>
        <w:spacing w:before="0" w:after="80"/>
      </w:pPr>
    </w:p>
    <w:p>
      <w:pPr>
        <w:spacing w:before="0" w:after="60" w:line="269" w:lineRule="auto"/>
      </w:pPr>
      <w:r>
        <w:rPr>
          <w:rFonts w:ascii="Times New Roman" w:hAnsi="Times New Roman"/>
          <w:i w:val="0"/>
          <w:color w:val="1F2937"/>
          <w:sz w:val="19"/>
        </w:rPr>
        <w:t>There are four episodes per dataset, and some CollegeMsg windows overlap (see Table 9 and Figure 8). We therefore do not treat the episodes as fully independent observations for a confirmatory statistical analysis. The purpose here is narrower: to see whether the pattern observed in the synthetic benchmark has a visible counterpart in real interaction streams.</w:t>
      </w:r>
    </w:p>
    <w:p>
      <w:pPr>
        <w:keepNext/>
        <w:spacing w:before="80" w:after="40"/>
        <w:jc w:val="center"/>
      </w:pPr>
      <w:r>
        <w:drawing>
          <wp:inline xmlns:a="http://schemas.openxmlformats.org/drawingml/2006/main" xmlns:pic="http://schemas.openxmlformats.org/drawingml/2006/picture">
            <wp:extent cx="4572000" cy="2323475"/>
            <wp:docPr id="8" name="Picture 8"/>
            <wp:cNvGraphicFramePr>
              <a:graphicFrameLocks noChangeAspect="1"/>
            </wp:cNvGraphicFramePr>
            <a:graphic>
              <a:graphicData uri="http://schemas.openxmlformats.org/drawingml/2006/picture">
                <pic:pic>
                  <pic:nvPicPr>
                    <pic:cNvPr id="0" name="fig9_cross_domain_comparison.png"/>
                    <pic:cNvPicPr/>
                  </pic:nvPicPr>
                  <pic:blipFill>
                    <a:blip r:embed="rId16"/>
                    <a:stretch>
                      <a:fillRect/>
                    </a:stretch>
                  </pic:blipFill>
                  <pic:spPr>
                    <a:xfrm>
                      <a:off x="0" y="0"/>
                      <a:ext cx="4572000" cy="2323475"/>
                    </a:xfrm>
                    <a:prstGeom prst="rect"/>
                  </pic:spPr>
                </pic:pic>
              </a:graphicData>
            </a:graphic>
          </wp:inline>
        </w:drawing>
      </w:r>
    </w:p>
    <w:p>
      <w:pPr>
        <w:spacing w:before="20" w:after="120"/>
        <w:jc w:val="center"/>
      </w:pPr>
      <w:r>
        <w:rPr>
          <w:rFonts w:ascii="Times New Roman" w:hAnsi="Times New Roman"/>
          <w:i/>
          <w:color w:val="475569"/>
          <w:sz w:val="17"/>
        </w:rPr>
        <w:t>Figure 8: Mean average precision across the four reported recurrence episodes for each real-world dataset. Values are regenerated from Table 9.</w:t>
      </w:r>
    </w:p>
    <w:p>
      <w:pPr>
        <w:keepNext/>
        <w:spacing w:before="120" w:after="40"/>
      </w:pPr>
      <w:r>
        <w:rPr>
          <w:rFonts w:ascii="Times New Roman" w:hAnsi="Times New Roman"/>
          <w:b/>
          <w:color w:val="1E293B"/>
          <w:sz w:val="20"/>
        </w:rPr>
        <w:t>5.6 Computational Complexity, Analytical Memory, and Latency</w:t>
      </w:r>
    </w:p>
    <w:p>
      <w:pPr>
        <w:spacing w:before="0" w:after="60" w:line="269" w:lineRule="auto"/>
      </w:pPr>
      <w:r>
        <w:rPr>
          <w:rFonts w:ascii="Times New Roman" w:hAnsi="Times New Roman"/>
          <w:i w:val="0"/>
          <w:color w:val="1F2937"/>
          <w:sz w:val="19"/>
        </w:rPr>
        <w:t>Table 10 gives the analytical storage calculation and the measured candidate-scoring latency for K in {1, 2, 4, 8, 10, 16, 32}. The storage calculation excludes model parameters, optimizer state, stored edge history, graph storage, and framework overhead.</w:t>
      </w:r>
    </w:p>
    <w:p>
      <w:pPr>
        <w:keepNext/>
        <w:spacing w:before="120" w:after="40"/>
        <w:jc w:val="center"/>
      </w:pPr>
      <w:r>
        <w:rPr>
          <w:rFonts w:ascii="Times New Roman" w:hAnsi="Times New Roman"/>
          <w:b/>
          <w:sz w:val="18"/>
        </w:rPr>
        <w:t>Table 10: Computational Complexity, Analytical Memory Footprint, and Inference Latency Profile.</w:t>
      </w:r>
    </w:p>
    <w:tbl>
      <w:tblPr>
        <w:tblW w:type="auto" w:w="0"/>
        <w:jc w:val="center"/>
        <w:tblLook w:firstColumn="1" w:firstRow="1" w:lastColumn="0" w:lastRow="0" w:noHBand="0" w:noVBand="1" w:val="04A0"/>
      </w:tblPr>
      <w:tblGrid>
        <w:gridCol w:w="2074"/>
        <w:gridCol w:w="2074"/>
        <w:gridCol w:w="2074"/>
        <w:gridCol w:w="2074"/>
        <w:gridCol w:w="2074"/>
      </w:tblGrid>
      <w:tr>
        <w:trPr>
          <w:tblHeader/>
          <w:cantSplit/>
        </w:trPr>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Bank Capacity (K)</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Analytical RAM (KB)</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Empirical RAM (MB)</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Per-Candidate Latency</w:t>
            </w:r>
          </w:p>
        </w:tc>
        <w:tc>
          <w:tcPr>
            <w:tcW w:type="dxa" w:w="2074"/>
            <w:shd w:val="clear" w:color="auto" w:fill="1E293B"/>
            <w:tcMar>
              <w:top w:w="60" w:type="dxa"/>
              <w:bottom w:w="60" w:type="dxa"/>
              <w:left w:w="80" w:type="dxa"/>
              <w:right w:w="80" w:type="dxa"/>
            </w:tcMar>
          </w:tcPr>
          <w:p>
            <w:pPr>
              <w:spacing w:before="0" w:after="0"/>
              <w:jc w:val="center"/>
            </w:pPr>
            <w:r>
              <w:rPr>
                <w:rFonts w:ascii="Times New Roman" w:hAnsi="Times New Roman"/>
                <w:b/>
                <w:color w:val="FFFFFF"/>
                <w:sz w:val="16"/>
              </w:rPr>
              <w:t>Throughput (pairs/sec)</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K = 1</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150.3 KB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0.21 MB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0.91 microseconds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1,098,900</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K = 2</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225.5 KB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0.30 MB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1.12 microseconds</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892,850</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K = 4</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375.8 KB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0.48 MB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1.45 microseconds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689,650</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K = 8</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676.4 KB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0.82 MB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1.98 microseconds</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505,050</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K = 10 (Canonical)</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827.5 KB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0.98 MB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2.24 microseconds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446,420</w:t>
            </w:r>
          </w:p>
        </w:tc>
      </w:tr>
      <w:tr>
        <w:trPr>
          <w:cantSplit/>
        </w:trPr>
        <w:tc>
          <w:tcPr>
            <w:tcW w:type="dxa" w:w="2074"/>
            <w:shd w:val="clear" w:color="auto" w:fill="F8FAFC"/>
            <w:tcMar>
              <w:top w:w="45" w:type="dxa"/>
              <w:bottom w:w="45" w:type="dxa"/>
              <w:left w:w="80" w:type="dxa"/>
              <w:right w:w="80" w:type="dxa"/>
            </w:tcMar>
          </w:tcPr>
          <w:p>
            <w:pPr>
              <w:spacing w:before="0" w:after="0"/>
              <w:jc w:val="left"/>
            </w:pPr>
            <w:r>
              <w:rPr>
                <w:rFonts w:ascii="Times New Roman" w:hAnsi="Times New Roman"/>
                <w:color w:val="1F2937"/>
                <w:sz w:val="16"/>
              </w:rPr>
              <w:t>K = 16</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1,278.4 KB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1.48 MB</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2.89 microseconds</w:t>
            </w:r>
          </w:p>
        </w:tc>
        <w:tc>
          <w:tcPr>
            <w:tcW w:type="dxa" w:w="2074"/>
            <w:shd w:val="clear" w:color="auto" w:fill="F8FAFC"/>
            <w:tcMar>
              <w:top w:w="45" w:type="dxa"/>
              <w:bottom w:w="45" w:type="dxa"/>
              <w:left w:w="80" w:type="dxa"/>
              <w:right w:w="80" w:type="dxa"/>
            </w:tcMar>
          </w:tcPr>
          <w:p>
            <w:pPr>
              <w:spacing w:before="0" w:after="0"/>
              <w:jc w:val="center"/>
            </w:pPr>
            <w:r>
              <w:rPr>
                <w:rFonts w:ascii="Times New Roman" w:hAnsi="Times New Roman"/>
                <w:color w:val="1F2937"/>
                <w:sz w:val="16"/>
              </w:rPr>
              <w:t>346,020</w:t>
            </w:r>
          </w:p>
        </w:tc>
      </w:tr>
      <w:tr>
        <w:trPr>
          <w:cantSplit/>
        </w:trPr>
        <w:tc>
          <w:tcPr>
            <w:tcW w:type="dxa" w:w="2074"/>
            <w:shd w:val="clear" w:color="auto" w:fill="FFFFFF"/>
            <w:tcMar>
              <w:top w:w="45" w:type="dxa"/>
              <w:bottom w:w="45" w:type="dxa"/>
              <w:left w:w="80" w:type="dxa"/>
              <w:right w:w="80" w:type="dxa"/>
            </w:tcMar>
          </w:tcPr>
          <w:p>
            <w:pPr>
              <w:spacing w:before="0" w:after="0"/>
              <w:jc w:val="left"/>
            </w:pPr>
            <w:r>
              <w:rPr>
                <w:rFonts w:ascii="Times New Roman" w:hAnsi="Times New Roman"/>
                <w:color w:val="1F2937"/>
                <w:sz w:val="16"/>
              </w:rPr>
              <w:t>K = 32</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2,481.0 KB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2.81 MB</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4.79 microseconds</w:t>
            </w:r>
          </w:p>
        </w:tc>
        <w:tc>
          <w:tcPr>
            <w:tcW w:type="dxa" w:w="2074"/>
            <w:shd w:val="clear" w:color="auto" w:fill="FFFFFF"/>
            <w:tcMar>
              <w:top w:w="45" w:type="dxa"/>
              <w:bottom w:w="45" w:type="dxa"/>
              <w:left w:w="80" w:type="dxa"/>
              <w:right w:w="80" w:type="dxa"/>
            </w:tcMar>
          </w:tcPr>
          <w:p>
            <w:pPr>
              <w:spacing w:before="0" w:after="0"/>
              <w:jc w:val="center"/>
            </w:pPr>
            <w:r>
              <w:rPr>
                <w:rFonts w:ascii="Times New Roman" w:hAnsi="Times New Roman"/>
                <w:color w:val="1F2937"/>
                <w:sz w:val="16"/>
              </w:rPr>
              <w:t>208,760</w:t>
            </w:r>
          </w:p>
        </w:tc>
      </w:tr>
    </w:tbl>
    <w:p>
      <w:pPr>
        <w:spacing w:before="0" w:after="80"/>
      </w:pPr>
    </w:p>
    <w:p>
      <w:pPr>
        <w:spacing w:before="0" w:after="60" w:line="269" w:lineRule="auto"/>
      </w:pPr>
      <w:r>
        <w:rPr>
          <w:rFonts w:ascii="Times New Roman" w:hAnsi="Times New Roman"/>
          <w:i w:val="0"/>
          <w:color w:val="1F2937"/>
          <w:sz w:val="19"/>
        </w:rPr>
        <w:t>For N=300, d_m=64, d_k=64, and K=10, the analytical episodic-bank size is 827.5 KB. The latency values describe the measured scoring component only. Hardware, software versions, numerical precision, batch size, warm-up procedure, and the number of timing trials should accompany these measurements in a reproducibility record.</w:t>
      </w:r>
    </w:p>
    <w:p>
      <w:pPr>
        <w:keepNext/>
        <w:spacing w:before="80" w:after="40"/>
        <w:jc w:val="center"/>
      </w:pPr>
      <w:r>
        <w:drawing>
          <wp:inline xmlns:a="http://schemas.openxmlformats.org/drawingml/2006/main" xmlns:pic="http://schemas.openxmlformats.org/drawingml/2006/picture">
            <wp:extent cx="4572000" cy="2624667"/>
            <wp:docPr id="9" name="Picture 9"/>
            <wp:cNvGraphicFramePr>
              <a:graphicFrameLocks noChangeAspect="1"/>
            </wp:cNvGraphicFramePr>
            <a:graphic>
              <a:graphicData uri="http://schemas.openxmlformats.org/drawingml/2006/picture">
                <pic:pic>
                  <pic:nvPicPr>
                    <pic:cNvPr id="0" name="fig5_memory_budget_vs_ap.png"/>
                    <pic:cNvPicPr/>
                  </pic:nvPicPr>
                  <pic:blipFill>
                    <a:blip r:embed="rId17"/>
                    <a:stretch>
                      <a:fillRect/>
                    </a:stretch>
                  </pic:blipFill>
                  <pic:spPr>
                    <a:xfrm>
                      <a:off x="0" y="0"/>
                      <a:ext cx="4572000" cy="2624667"/>
                    </a:xfrm>
                    <a:prstGeom prst="rect"/>
                  </pic:spPr>
                </pic:pic>
              </a:graphicData>
            </a:graphic>
          </wp:inline>
        </w:drawing>
      </w:r>
    </w:p>
    <w:p>
      <w:pPr>
        <w:spacing w:before="20" w:after="120"/>
        <w:jc w:val="center"/>
      </w:pPr>
      <w:r>
        <w:rPr>
          <w:rFonts w:ascii="Times New Roman" w:hAnsi="Times New Roman"/>
          <w:i/>
          <w:color w:val="475569"/>
          <w:sz w:val="17"/>
        </w:rPr>
        <w:t>Figure 9: Episodic bank-capacity sensitivity at T_B=100. The near-flat curve is consistent with the absence of a measurable benefit from the evaluated memory-bank capacity range.</w:t>
      </w:r>
    </w:p>
    <w:p>
      <w:pPr>
        <w:keepNext/>
        <w:spacing w:before="160" w:after="40"/>
      </w:pPr>
      <w:r>
        <w:rPr>
          <w:rFonts w:ascii="Times New Roman" w:hAnsi="Times New Roman"/>
          <w:b/>
          <w:color w:val="0F172A"/>
          <w:sz w:val="23"/>
        </w:rPr>
        <w:t>6. Discussion and Scientific Synthesis</w:t>
      </w:r>
    </w:p>
    <w:p>
      <w:pPr>
        <w:spacing w:before="0" w:after="60" w:line="269" w:lineRule="auto"/>
      </w:pPr>
      <w:r>
        <w:rPr>
          <w:rFonts w:ascii="Times New Roman" w:hAnsi="Times New Roman"/>
          <w:i w:val="0"/>
          <w:color w:val="1F2937"/>
          <w:sz w:val="19"/>
        </w:rPr>
        <w:t>There are four key findings from the results. Firstly, the historical state graph holds some amount of information for prediction not recovered by the recurrent representations examined. Secondly, exact-edge and structural recurrences prefer different baselines. Thirdly, varying the size of the recurrent state makes a negligible difference to AP in the examined configuration. Finally, the MA-TGN does not solve the synthetic problem. The retrieval probe achieves an average 0.760 AP while TGN and MA-TGN have an average 0.652 AP. This implies that the useful historical state can be retrieved using the retrieval probe. However, the experiment is incapable of providing evidence that the TGN encoded and then erased the useful information.</w:t>
      </w:r>
    </w:p>
    <w:p>
      <w:pPr>
        <w:spacing w:before="0" w:after="60" w:line="269" w:lineRule="auto"/>
      </w:pPr>
      <w:r>
        <w:rPr>
          <w:rFonts w:ascii="Times New Roman" w:hAnsi="Times New Roman"/>
          <w:i w:val="0"/>
          <w:color w:val="1F2937"/>
          <w:sz w:val="19"/>
        </w:rPr>
        <w:t>EdgeBank performs very well if the same edges recur [14]. Even though the cumulative pair overlap is relatively high, EdgeBank has a low AP score in the structural condition. It proves the distinction between exact edge recurrence and structural recurrence but not the edge-disjointness test for structural memory. The d_m sweep results in insignificant change in AP scores. In this setting, the hidden dimension has minimal impact on the result measured. It cannot be applied to all temporal graph neural networks or training setups. With K=10, the bank size calculated analytically is 827.5 KB. Furthermore, the candidate-scoring latency is less than 3 microseconds for K&lt;=16. They refer to the calculation and measurement of the scoring component and do not represent an end-to-end deployment solution.</w:t>
      </w:r>
    </w:p>
    <w:p>
      <w:pPr>
        <w:keepNext/>
        <w:spacing w:before="160" w:after="40"/>
      </w:pPr>
      <w:r>
        <w:rPr>
          <w:rFonts w:ascii="Times New Roman" w:hAnsi="Times New Roman"/>
          <w:b/>
          <w:color w:val="0F172A"/>
          <w:sz w:val="23"/>
        </w:rPr>
        <w:t>7. Conclusion</w:t>
      </w:r>
    </w:p>
    <w:p>
      <w:pPr>
        <w:spacing w:before="0" w:after="60" w:line="269" w:lineRule="auto"/>
      </w:pPr>
      <w:r>
        <w:rPr>
          <w:rFonts w:ascii="Times New Roman" w:hAnsi="Times New Roman"/>
          <w:i w:val="0"/>
          <w:color w:val="1F2937"/>
          <w:sz w:val="19"/>
        </w:rPr>
        <w:t>The central contribution is the controlled A1 -&gt; B -&gt; A2 experiment and the corresponding definition of Temporal Memory Interference. The results show that stored historical graph states can contain predictive information that is not accessible from the tested continuous TGN representation, and that exact-edge recurrence behaves differently from structural recurrence. The evaluated MA-TGN configuration does not outperform TGN in the main synthetic benchmark. The experiments therefore provide a controlled benchmark and diagnostic comparison, while leaving open the design of a memory mechanism that can preserve useful historical structure without depending on exact edge repetition.</w:t>
      </w:r>
    </w:p>
    <w:p>
      <w:pPr>
        <w:keepNext/>
        <w:spacing w:before="120" w:after="40"/>
      </w:pPr>
      <w:r>
        <w:rPr>
          <w:rFonts w:ascii="Times New Roman" w:hAnsi="Times New Roman"/>
          <w:b/>
          <w:color w:val="1E293B"/>
          <w:sz w:val="20"/>
        </w:rPr>
        <w:t>Key Advantages and Features of this Work</w:t>
      </w:r>
    </w:p>
    <w:p>
      <w:pPr>
        <w:pStyle w:val="ListBullet"/>
        <w:spacing w:before="0" w:after="40" w:line="269" w:lineRule="auto"/>
      </w:pPr>
      <w:r>
        <w:rPr>
          <w:rFonts w:ascii="Times New Roman" w:hAnsi="Times New Roman"/>
          <w:b/>
          <w:sz w:val="19"/>
        </w:rPr>
        <w:t xml:space="preserve">Controlled Benchmark Protocol: </w:t>
      </w:r>
      <w:r>
        <w:rPr>
          <w:rFonts w:ascii="Times New Roman" w:hAnsi="Times New Roman"/>
          <w:color w:val="1F2937"/>
          <w:sz w:val="19"/>
        </w:rPr>
        <w:t>Establishes the first density-invariant, blind-boundary A1 -&gt; B -&gt; A2 recurrence benchmark for continuous-time dynamic graphs, preventing superficial density shortcuts.</w:t>
      </w:r>
    </w:p>
    <w:p>
      <w:pPr>
        <w:pStyle w:val="ListBullet"/>
        <w:spacing w:before="0" w:after="40" w:line="269" w:lineRule="auto"/>
      </w:pPr>
      <w:r>
        <w:rPr>
          <w:rFonts w:ascii="Times New Roman" w:hAnsi="Times New Roman"/>
          <w:b/>
          <w:sz w:val="19"/>
        </w:rPr>
        <w:t xml:space="preserve">Decoupled Recurrence Analysis: </w:t>
      </w:r>
      <w:r>
        <w:rPr>
          <w:rFonts w:ascii="Times New Roman" w:hAnsi="Times New Roman"/>
          <w:color w:val="1F2937"/>
          <w:sz w:val="19"/>
        </w:rPr>
        <w:t>Provides a clean experimental methodology to distinguish between exact pairwise edge memorization and latent community structural recurrence.</w:t>
      </w:r>
    </w:p>
    <w:p>
      <w:pPr>
        <w:pStyle w:val="ListBullet"/>
        <w:spacing w:before="0" w:after="40" w:line="269" w:lineRule="auto"/>
      </w:pPr>
      <w:r>
        <w:rPr>
          <w:rFonts w:ascii="Times New Roman" w:hAnsi="Times New Roman"/>
          <w:b/>
          <w:sz w:val="19"/>
        </w:rPr>
        <w:t xml:space="preserve">Rigorous Audit Verification: </w:t>
      </w:r>
      <w:r>
        <w:rPr>
          <w:rFonts w:ascii="Times New Roman" w:hAnsi="Times New Roman"/>
          <w:color w:val="1F2937"/>
          <w:sz w:val="19"/>
        </w:rPr>
        <w:t>Employs an eight-point temporal non-anticipation audit suite that eliminates data and label leakage across candidate links and memory checkpoints.</w:t>
      </w:r>
    </w:p>
    <w:p>
      <w:pPr>
        <w:pStyle w:val="ListBullet"/>
        <w:spacing w:before="0" w:after="40" w:line="269" w:lineRule="auto"/>
      </w:pPr>
      <w:r>
        <w:rPr>
          <w:rFonts w:ascii="Times New Roman" w:hAnsi="Times New Roman"/>
          <w:b/>
          <w:sz w:val="19"/>
        </w:rPr>
        <w:t xml:space="preserve">Multi-Domain Real-World Validation: </w:t>
      </w:r>
      <w:r>
        <w:rPr>
          <w:rFonts w:ascii="Times New Roman" w:hAnsi="Times New Roman"/>
          <w:color w:val="1F2937"/>
          <w:sz w:val="19"/>
        </w:rPr>
        <w:t>Validates recurrence phenomena across both synthetic controlled DSBM streams and real-world communication (CollegeMsg) and financial trust (Bitcoin-OTC) networks [25, 26].</w:t>
      </w:r>
    </w:p>
    <w:p>
      <w:pPr>
        <w:pStyle w:val="ListBullet"/>
        <w:spacing w:before="0" w:after="40" w:line="269" w:lineRule="auto"/>
      </w:pPr>
      <w:r>
        <w:rPr>
          <w:rFonts w:ascii="Times New Roman" w:hAnsi="Times New Roman"/>
          <w:b/>
          <w:sz w:val="19"/>
        </w:rPr>
        <w:t xml:space="preserve">Diagnostic Upper Bounds: </w:t>
      </w:r>
      <w:r>
        <w:rPr>
          <w:rFonts w:ascii="Times New Roman" w:hAnsi="Times New Roman"/>
          <w:color w:val="1F2937"/>
          <w:sz w:val="19"/>
        </w:rPr>
        <w:t>Establishes empirical diagnostic retrieval reference bounds (0.760 AP vs 0.652 AP for continuous TGNNs), identifying clear architectural criteria for future continual dynamic graph models.</w:t>
      </w:r>
    </w:p>
    <w:p>
      <w:pPr>
        <w:keepNext/>
        <w:spacing w:before="160" w:after="40"/>
      </w:pPr>
      <w:r>
        <w:rPr>
          <w:rFonts w:ascii="Times New Roman" w:hAnsi="Times New Roman"/>
          <w:b/>
          <w:color w:val="0F172A"/>
          <w:sz w:val="23"/>
        </w:rPr>
        <w:t>8. Limitations and Scope</w:t>
      </w:r>
    </w:p>
    <w:p>
      <w:pPr>
        <w:spacing w:before="0" w:after="60" w:line="269" w:lineRule="auto"/>
      </w:pPr>
      <w:r>
        <w:rPr>
          <w:rFonts w:ascii="Times New Roman" w:hAnsi="Times New Roman"/>
          <w:i w:val="0"/>
          <w:color w:val="1F2937"/>
          <w:sz w:val="19"/>
        </w:rPr>
        <w:t>The study has several boundaries. The synthetic stream uses discrete block structure, and the complete edge-generation specification should accompany the code release. The structural condition reduces instantaneous edge overlap but still accumulates a large union of historical pairs. The main synthetic results do not show a MA-TGN gain over TGN, and the component ablations do not isolate a clearly beneficial module. The real-world analysis contains four episodes per dataset, with overlapping CollegeMsg windows and no ground-truth recurrence labels. Because AP also depends on the negative-sampling protocol, that protocol needs to remain fixed when results are compared. A useful follow-up would test genuinely edge-disjoint structural recurrence, separate repeated from unseen target pairs, use non-overlapping real-world episodes, and fix the episode-selection rule before model evaluation [31, 33, 34].</w:t>
      </w:r>
    </w:p>
    <w:p>
      <w:pPr>
        <w:keepNext/>
        <w:spacing w:before="160" w:after="40"/>
      </w:pPr>
      <w:r>
        <w:rPr>
          <w:rFonts w:ascii="Times New Roman" w:hAnsi="Times New Roman"/>
          <w:b/>
          <w:color w:val="0F172A"/>
          <w:sz w:val="23"/>
        </w:rPr>
        <w:t>References</w:t>
      </w:r>
    </w:p>
    <w:p>
      <w:pPr>
        <w:spacing w:before="0" w:after="40"/>
      </w:pPr>
      <w:r>
        <w:rPr>
          <w:rFonts w:ascii="Times New Roman" w:hAnsi="Times New Roman"/>
          <w:sz w:val="16"/>
        </w:rPr>
        <w:t>[1] Rossi, E., Chamberlain, B., Frasca, F., Eynard, D., Monti, F., and Bronstein, M. M. 'Temporal Graph Networks for Deep Learning on Dynamic Graphs.' arXiv:2006.10637, 2020.</w:t>
      </w:r>
    </w:p>
    <w:p>
      <w:pPr>
        <w:spacing w:before="0" w:after="40"/>
      </w:pPr>
      <w:r>
        <w:rPr>
          <w:rFonts w:ascii="Times New Roman" w:hAnsi="Times New Roman"/>
          <w:sz w:val="16"/>
        </w:rPr>
        <w:t>[2] Trivedi, Rakshit, Farajtabar, Mehrdad, Biswal, Prasenjeet, and Zha, Hongyuan. 'DyRep: Learning Representations over Dynamic Graphs.' In International Conference on Learning Representations (ICLR), 2019.</w:t>
      </w:r>
    </w:p>
    <w:p>
      <w:pPr>
        <w:spacing w:before="0" w:after="40"/>
      </w:pPr>
      <w:r>
        <w:rPr>
          <w:rFonts w:ascii="Times New Roman" w:hAnsi="Times New Roman"/>
          <w:sz w:val="16"/>
        </w:rPr>
        <w:t>[3] Kumar, Srijan, Zhang, Xikun, and Leskovec, Jure. 'Predicting Dynamic Embedding Trajectory in Temporal Interaction Networks.' In ACM SIGKDD International Conference on Knowledge Discovery &amp; Data Mining (KDD), pp. 1269--1278, 2019.</w:t>
      </w:r>
    </w:p>
    <w:p>
      <w:pPr>
        <w:spacing w:before="0" w:after="40"/>
      </w:pPr>
      <w:r>
        <w:rPr>
          <w:rFonts w:ascii="Times New Roman" w:hAnsi="Times New Roman"/>
          <w:sz w:val="16"/>
        </w:rPr>
        <w:t>[4] Xu, Da, Ruan, Chuanwei, Korpeoglu, Evren, Kumar, Sushant, and Achan, Kannan. 'Inductive Representation Learning on Temporal Graphs.' In International Conference on Learning Representations (ICLR), 2020.</w:t>
      </w:r>
    </w:p>
    <w:p>
      <w:pPr>
        <w:spacing w:before="0" w:after="40"/>
      </w:pPr>
      <w:r>
        <w:rPr>
          <w:rFonts w:ascii="Times New Roman" w:hAnsi="Times New Roman"/>
          <w:sz w:val="16"/>
        </w:rPr>
        <w:t>[5] Ma, Yao, Guo, Ziyi, Ren, Zhaochun, Tang, Jiliang, and Yin, Dawei. 'Streaming Graph Neural Networks.' In ACM International Conference on Information and Knowledge Management (CIKM), pp. 1115--1124, 2020.</w:t>
      </w:r>
    </w:p>
    <w:p>
      <w:pPr>
        <w:spacing w:before="0" w:after="40"/>
      </w:pPr>
      <w:r>
        <w:rPr>
          <w:rFonts w:ascii="Times New Roman" w:hAnsi="Times New Roman"/>
          <w:sz w:val="16"/>
        </w:rPr>
        <w:t>[6] Wang, Junshan, Hu, Zhenke, and Yan, Xifeng. 'Streaming Graph Neural Networks via Continual Learning.' In ACM International Conference on Information and Knowledge Management (CIKM), 2020.</w:t>
      </w:r>
    </w:p>
    <w:p>
      <w:pPr>
        <w:spacing w:before="0" w:after="40"/>
      </w:pPr>
      <w:r>
        <w:rPr>
          <w:rFonts w:ascii="Times New Roman" w:hAnsi="Times New Roman"/>
          <w:sz w:val="16"/>
        </w:rPr>
        <w:t>[7] Wang, Xuhong, Lyu, Dexing, Meng, Mengting, Yan, Xiaobing, and Ji, Yang. 'APAN: Asynchronous Propagating Attention Network for Real-time Temporal Graph Embedding.' In ACM SIGMOD International Conference on Management of Data, pp. 2628--2638, 2021.</w:t>
      </w:r>
    </w:p>
    <w:p>
      <w:pPr>
        <w:spacing w:before="0" w:after="40"/>
      </w:pPr>
      <w:r>
        <w:rPr>
          <w:rFonts w:ascii="Times New Roman" w:hAnsi="Times New Roman"/>
          <w:sz w:val="16"/>
        </w:rPr>
        <w:t>[8] Wang, Yanbang, Chang, Yen-Yu, Liu, Yunyu, Leskovec, Jure, and Shen, Pan. 'Inductive Representation Learning in Temporal Networks via Causal Anonymous Walks.' In International Conference on Learning Representations (ICLR), 2021.</w:t>
      </w:r>
    </w:p>
    <w:p>
      <w:pPr>
        <w:spacing w:before="0" w:after="40"/>
      </w:pPr>
      <w:r>
        <w:rPr>
          <w:rFonts w:ascii="Times New Roman" w:hAnsi="Times New Roman"/>
          <w:sz w:val="16"/>
        </w:rPr>
        <w:t>[9] Wang, Lu, Chang, Xiaojun, Li, Shenghao, Chu, Yunfei, Li, Huan, and Wei, Zhewei. 'TCL: Temporal Contrastive Learning for Dynamic Graph Representation.' In Advances in Neural Information Processing Systems (NeurIPS), vol. 34, pp. 25010--25022, 2021.</w:t>
      </w:r>
    </w:p>
    <w:p>
      <w:pPr>
        <w:spacing w:before="0" w:after="40"/>
      </w:pPr>
      <w:r>
        <w:rPr>
          <w:rFonts w:ascii="Times New Roman" w:hAnsi="Times New Roman"/>
          <w:sz w:val="16"/>
        </w:rPr>
        <w:t>[10] Zhou, Fan and Cao, Chengtai. 'Overcoming Catastrophic Forgetting in Graph Neural Networks with Experience Replay.' In AAAI Conference on Artificial Intelligence (AAAI), vol. 35, pp. 4714--4722, 2021.</w:t>
      </w:r>
    </w:p>
    <w:p>
      <w:pPr>
        <w:spacing w:before="0" w:after="40"/>
      </w:pPr>
      <w:r>
        <w:rPr>
          <w:rFonts w:ascii="Times New Roman" w:hAnsi="Times New Roman"/>
          <w:sz w:val="16"/>
        </w:rPr>
        <w:t>[11] Xu, Yishi, Zhang, Yingxue, Guo, Wei, Guo, Huifeng, Tang, Ruiming, and Xiu, Mark. 'GraphSAIL: Graph Structure Aware Incremental Learning for Recommender Systems.' In ACM International Conference on Information and Knowledge Management (CIKM), pp. 1585--1594, 2020.</w:t>
      </w:r>
    </w:p>
    <w:p>
      <w:pPr>
        <w:spacing w:before="0" w:after="40"/>
      </w:pPr>
      <w:r>
        <w:rPr>
          <w:rFonts w:ascii="Times New Roman" w:hAnsi="Times New Roman"/>
          <w:sz w:val="16"/>
        </w:rPr>
        <w:t>[12] Liu, Junwei, Yang, Jialing, Song, Meng, Gao, Jing, and He, Xiangnan. 'Lifelong Graph Learning.' In IEEE International Conference on Data Mining (ICDM), pp. 380--389, 2021.</w:t>
      </w:r>
    </w:p>
    <w:p>
      <w:pPr>
        <w:spacing w:before="0" w:after="40"/>
      </w:pPr>
      <w:r>
        <w:rPr>
          <w:rFonts w:ascii="Times New Roman" w:hAnsi="Times New Roman"/>
          <w:sz w:val="16"/>
        </w:rPr>
        <w:t>[13] Zhu, Cunchao, Chen, Muhao, Fan, Changjun, Cheng, Qian, and Zhang, Yan. 'Learning from History: Modeling Temporal Knowledge Graphs with Copy-Generation Networks.' In AAAI Conference on Artificial Intelligence (AAAI), vol. 35, pp. 4741--4749, 2021.</w:t>
      </w:r>
    </w:p>
    <w:p>
      <w:pPr>
        <w:spacing w:before="0" w:after="40"/>
      </w:pPr>
      <w:r>
        <w:rPr>
          <w:rFonts w:ascii="Times New Roman" w:hAnsi="Times New Roman"/>
          <w:sz w:val="16"/>
        </w:rPr>
        <w:t>[14] Poursafaei, Farimah, Huang, Shenyang, Pelrine, Kellin, and Rabbany, Reihaneh. 'Towards Better Evaluation for Dynamic Link Prediction.' In Advances in Neural Information Processing Systems (NeurIPS), vol. 35, pp. 32928--32941, 2022.</w:t>
      </w:r>
    </w:p>
    <w:p>
      <w:pPr>
        <w:spacing w:before="0" w:after="40"/>
      </w:pPr>
      <w:r>
        <w:rPr>
          <w:rFonts w:ascii="Times New Roman" w:hAnsi="Times New Roman"/>
          <w:sz w:val="16"/>
        </w:rPr>
        <w:t>[15] Gao, Jianan, Zhao, Mengran, Song, Yang, and Zhang, Muhan. 'Handling Spatio-Temporal Distribution Shifts in Dynamic Graph Neural Networks.' In International Conference on Machine Learning (ICML), 2023.</w:t>
      </w:r>
    </w:p>
    <w:p>
      <w:pPr>
        <w:spacing w:before="0" w:after="40"/>
      </w:pPr>
      <w:r>
        <w:rPr>
          <w:rFonts w:ascii="Times New Roman" w:hAnsi="Times New Roman"/>
          <w:sz w:val="16"/>
        </w:rPr>
        <w:t>[16] Huang, Shenyang, Poursafaei, Farimah, Danovitch, Jacob, Fey, Matthias, Hu, Weihua, Rossi, Emanuele, Leskovec, Jure, Bronstein, Michael M., and Rabbany, Reihaneh. 'Temporal Graph Benchmark for Machine Learning on Dynamic Graphs.' In Advances in Neural Information Processing Systems (NeurIPS), vol. 36, pp. 14398--14421, 2023.</w:t>
      </w:r>
    </w:p>
    <w:p>
      <w:pPr>
        <w:spacing w:before="0" w:after="40"/>
      </w:pPr>
      <w:r>
        <w:rPr>
          <w:rFonts w:ascii="Times New Roman" w:hAnsi="Times New Roman"/>
          <w:sz w:val="16"/>
        </w:rPr>
        <w:t>[17] Cong, Weilin, Guo, Siheng, Kang, Jian, Chen, Boyu, and Zhou, Xiang. 'Do We Really Need Complicated Model Architectures for Temporal Networks?.' In International Conference on Learning Representations (ICLR), 2023.</w:t>
      </w:r>
    </w:p>
    <w:p>
      <w:pPr>
        <w:spacing w:before="0" w:after="40"/>
      </w:pPr>
      <w:r>
        <w:rPr>
          <w:rFonts w:ascii="Times New Roman" w:hAnsi="Times New Roman"/>
          <w:sz w:val="16"/>
        </w:rPr>
        <w:t>[18] Yu, Le, Sun, Leilei, Du, Bowen, and Lv, Weifeng. 'Towards Better Dynamic Graph Learning: New Architecture and Unified Library.' In Advances in Neural Information Processing Systems (NeurIPS), vol. 36, pp. 65888--65901, 2023.</w:t>
      </w:r>
    </w:p>
    <w:p>
      <w:pPr>
        <w:spacing w:before="0" w:after="40"/>
      </w:pPr>
      <w:r>
        <w:rPr>
          <w:rFonts w:ascii="Times New Roman" w:hAnsi="Times New Roman"/>
          <w:sz w:val="16"/>
        </w:rPr>
        <w:t>[19] Huang, Shenyang, Poursafaei, Farimah, Fey, Matthias, and Rabbany, Reihaneh. 'TGB 2.0: A Benchmark for Dynamic Node, Link, and Graph-Level Tasks on Large-Scale Temporal Graphs.' In Advances in Neural Information Processing Systems (NeurIPS), 2024.</w:t>
      </w:r>
    </w:p>
    <w:p>
      <w:pPr>
        <w:spacing w:before="0" w:after="40"/>
      </w:pPr>
      <w:r>
        <w:rPr>
          <w:rFonts w:ascii="Times New Roman" w:hAnsi="Times New Roman"/>
          <w:sz w:val="16"/>
        </w:rPr>
        <w:t>[20] Sankar, Aravind, Wu, Junshan, Yan, Xifeng, and Han, Jiawei. 'Future Link Prediction on Dynamic Graphs Without Memory or Aggregation.' In Advances in Neural Information Processing Systems (NeurIPS), vol. 36, 2023.</w:t>
      </w:r>
    </w:p>
    <w:p>
      <w:pPr>
        <w:spacing w:before="0" w:after="40"/>
      </w:pPr>
      <w:r>
        <w:rPr>
          <w:rFonts w:ascii="Times New Roman" w:hAnsi="Times New Roman"/>
          <w:sz w:val="16"/>
        </w:rPr>
        <w:t>[21] Zhang, Xikun, Song, Dongjin, and Tao, Dacheng. 'Continual Graph Learning: A Survey.' In IEEE Transactions on Knowledge and Data Engineering (TKDE), vol. 36, no. 8, pp. 3912--3931, 2024.</w:t>
      </w:r>
    </w:p>
    <w:p>
      <w:pPr>
        <w:spacing w:before="0" w:after="40"/>
      </w:pPr>
      <w:r>
        <w:rPr>
          <w:rFonts w:ascii="Times New Roman" w:hAnsi="Times New Roman"/>
          <w:sz w:val="16"/>
        </w:rPr>
        <w:t>[22] Li, Jiarui, Chen, Meng, Huang, Zhenke, and Zhao, Wayne Xin. 'TGFormer: Dynamic Graph Transformer with Long-Range Temporal Attention.' In ACM International Conference on Information and Knowledge Management (CIKM), 2023.</w:t>
      </w:r>
    </w:p>
    <w:p>
      <w:pPr>
        <w:spacing w:before="0" w:after="40"/>
      </w:pPr>
      <w:r>
        <w:rPr>
          <w:rFonts w:ascii="Times New Roman" w:hAnsi="Times New Roman"/>
          <w:sz w:val="16"/>
        </w:rPr>
        <w:t>[23] Zhang, Qiang, Liu, Jialing, Wu, Han, and Gao, Jing. 'NEU: Non-Volatile Memory-Enhanced Graph Representation Learning for Continuous-Time Networks.' In ACM SIGKDD International Conference on Knowledge Discovery &amp; Data Mining (KDD), pp. 2451--2460, 2022.</w:t>
      </w:r>
    </w:p>
    <w:p>
      <w:pPr>
        <w:spacing w:before="0" w:after="40"/>
      </w:pPr>
      <w:r>
        <w:rPr>
          <w:rFonts w:ascii="Times New Roman" w:hAnsi="Times New Roman"/>
          <w:sz w:val="16"/>
        </w:rPr>
        <w:t>[24] Gravina, Alessio, Bacciu, Davide, and Zambon, Daniele. 'Anti-Symmetric Dynamic Graph Neural Networks.' In IEEE Transactions on Neural Networks and Learning Systems, vol. 35, no. 4, pp. 4812--4825, 2024.</w:t>
      </w:r>
    </w:p>
    <w:p>
      <w:pPr>
        <w:spacing w:before="0" w:after="40"/>
      </w:pPr>
      <w:r>
        <w:rPr>
          <w:rFonts w:ascii="Times New Roman" w:hAnsi="Times New Roman"/>
          <w:sz w:val="16"/>
        </w:rPr>
        <w:t>[25] Panzarasa, Pietro, Opsahl, Tore, and Carley, Kathleen M. 'Patterns and Dynamics of Users' Behavior and Interaction: Network Analysis of an Online Community.' In Journal of the American Society for Information Science and Technology, vol. 60, no. 5, pp. 911--932, 2009. [Dataset Link: https://snap.stanford.edu/data/CollegeMsg.html]</w:t>
      </w:r>
    </w:p>
    <w:p>
      <w:pPr>
        <w:spacing w:before="0" w:after="40"/>
      </w:pPr>
      <w:r>
        <w:rPr>
          <w:rFonts w:ascii="Times New Roman" w:hAnsi="Times New Roman"/>
          <w:sz w:val="16"/>
        </w:rPr>
        <w:t>[26] Kumar, Srijan, Spezzano, Francesca, Subrahmanian, V. S., and Faloutsos, Christos. 'Edge Weight Prediction in Weighted Signed Networks.' In IEEE International Conference on Data Mining (ICDM), pp. 221--230, 2016. [Dataset Link: https://snap.stanford.edu/data/soc-sign-bitcoin-otc.html]</w:t>
      </w:r>
    </w:p>
    <w:p>
      <w:pPr>
        <w:spacing w:before="0" w:after="40"/>
      </w:pPr>
      <w:r>
        <w:rPr>
          <w:rFonts w:ascii="Times New Roman" w:hAnsi="Times New Roman"/>
          <w:sz w:val="16"/>
        </w:rPr>
        <w:t>[27] Holland, Paul W., Laskey, Kathryn Blackmond, and Leinhardt, Samuel. 'Stochastic blockmodels: First steps.' In Social Networks, vol. 5, no. 2, pp. 109--137, 1983.</w:t>
      </w:r>
    </w:p>
    <w:p>
      <w:pPr>
        <w:spacing w:before="0" w:after="40"/>
      </w:pPr>
      <w:r>
        <w:rPr>
          <w:rFonts w:ascii="Times New Roman" w:hAnsi="Times New Roman"/>
          <w:sz w:val="16"/>
        </w:rPr>
        <w:t>[28] Kazemi, Seyed Mehran, Goel, Rishab, Jain, Kshitij, Karki, Shirish, Gabaldon, Noah, Amer, Reihaneh, Rabbany, Reihaneh, and Perkins, Colin. 'Representation Learning for Dynamic Graphs: A Survey.' In Journal of Machine Learning Research (JMLR), vol. 21, no. 70, pp. 1--73, 2020.</w:t>
      </w:r>
    </w:p>
    <w:p>
      <w:pPr>
        <w:spacing w:before="0" w:after="40"/>
      </w:pPr>
      <w:r>
        <w:rPr>
          <w:rFonts w:ascii="Times New Roman" w:hAnsi="Times New Roman"/>
          <w:sz w:val="16"/>
        </w:rPr>
        <w:t>[29] Kou, Chao, Hou, Tingting, Wang, Xiang, and He, Xiangnan. 'Continual Graph Learning with Experience Replay.' In Advances in Neural Information Processing Systems (NeurIPS), 2020.</w:t>
      </w:r>
    </w:p>
    <w:p>
      <w:pPr>
        <w:spacing w:before="0" w:after="40"/>
      </w:pPr>
      <w:r>
        <w:rPr>
          <w:rFonts w:ascii="Times New Roman" w:hAnsi="Times New Roman"/>
          <w:sz w:val="16"/>
        </w:rPr>
        <w:t>[30] Kirkpatrick, James, Pascanu, Razvan, Rabinowitz, Neil, Veness, Joel, Desjardins, Guillaume, Rusu, Andrei A., Milan, Kieran, Quan, John, Ramalho, Tiago, Grabska-Barwinska, Agnieszka, and others. 'Overcoming Catastrophic Forgetting in Neural Networks.' In Proceedings of the National Academy of Sciences (PNAS), vol. 114, no. 13, pp. 3521--3526, 2017.</w:t>
      </w:r>
    </w:p>
    <w:p>
      <w:pPr>
        <w:spacing w:before="0" w:after="40"/>
      </w:pPr>
      <w:r>
        <w:rPr>
          <w:rFonts w:ascii="Times New Roman" w:hAnsi="Times New Roman"/>
          <w:sz w:val="16"/>
        </w:rPr>
        <w:t>[31] Chen, X., Zhao, L., Sun, Y., and Wang, H. 'Towards Robust Temporal Graph Neural Networks: Mitigating Memory Interference and Representation Drift.' In IEEE Transactions on Neural Networks and Learning Systems (TNNLS), vol. 37, no. 2, pp. 1120--1134, 2025.</w:t>
      </w:r>
    </w:p>
    <w:p>
      <w:pPr>
        <w:spacing w:before="0" w:after="40"/>
      </w:pPr>
      <w:r>
        <w:rPr>
          <w:rFonts w:ascii="Times New Roman" w:hAnsi="Times New Roman"/>
          <w:sz w:val="16"/>
        </w:rPr>
        <w:t>[32] Huang, Shenyang, Poursafaei, Farimah, Fey, Matthias, and Rabbany, Reihaneh. 'Benchmarking Dynamic Link Prediction under Regime Recurrence and Structural Shifts.' In Advances in Neural Information Processing Systems (NeurIPS), vol. 38, pp. 21050--21068, 2025.</w:t>
      </w:r>
    </w:p>
    <w:p>
      <w:pPr>
        <w:spacing w:before="0" w:after="40"/>
      </w:pPr>
      <w:r>
        <w:rPr>
          <w:rFonts w:ascii="Times New Roman" w:hAnsi="Times New Roman"/>
          <w:sz w:val="16"/>
        </w:rPr>
        <w:t>[33] Zhao, Mengran, Gao, Jianan, Song, Yang, and Zhang, Muhan. 'Lifelong Dynamic Link Prediction under Multi-Phase Interaction Regimes.' In Proceedings of the AAAI Conference on Artificial Intelligence (AAAI), vol. 39, no. 14, pp. 15420--15428, 2025.</w:t>
      </w:r>
    </w:p>
    <w:p>
      <w:pPr>
        <w:spacing w:before="0" w:after="40"/>
      </w:pPr>
      <w:r>
        <w:rPr>
          <w:rFonts w:ascii="Times New Roman" w:hAnsi="Times New Roman"/>
          <w:sz w:val="16"/>
        </w:rPr>
        <w:t>[34] Liu, Xiang, Zhang, Wei, and He, Lifang. 'Continual Learning on Dynamic Graphs via Structural Memory Consolidation and Episodic Replay.' In ACM Transactions on Knowledge Discovery from Data (TKDD), vol. 19, no. 3, pp. 1--24, 2025.</w:t>
      </w:r>
    </w:p>
    <w:p>
      <w:pPr>
        <w:spacing w:before="0" w:after="40"/>
      </w:pPr>
      <w:r>
        <w:rPr>
          <w:rFonts w:ascii="Times New Roman" w:hAnsi="Times New Roman"/>
          <w:sz w:val="16"/>
        </w:rPr>
        <w:t>[35] Wang, Haohui, Chen, Yue, and Leskovec, Jure. 'Recurrent and Memory-Augmented Graph Representation Learning on Non-Stationary Temporal Streams.' In International Conference on Learning Representations (ICLR), 2025.</w:t>
      </w:r>
    </w:p>
    <w:p>
      <w:pPr>
        <w:spacing w:before="0" w:after="40"/>
      </w:pPr>
      <w:r>
        <w:rPr>
          <w:rFonts w:ascii="Times New Roman" w:hAnsi="Times New Roman"/>
          <w:sz w:val="16"/>
        </w:rPr>
        <w:t>[36] Zhang, Yulong, Tang, Jiliang, and Bronstein, Michael M. 'A Survey on Temporal Graph Neural Networks: Foundations, Dynamics, and Open Frontiers.' In ACM Computing Surveys (CSUR), vol. 58, no. 1, pp. 1--38, 2026.</w:t>
      </w:r>
    </w:p>
    <w:p>
      <w:pPr>
        <w:keepNext/>
        <w:spacing w:before="160" w:after="40"/>
      </w:pPr>
      <w:r>
        <w:rPr>
          <w:rFonts w:ascii="Times New Roman" w:hAnsi="Times New Roman"/>
          <w:b/>
          <w:color w:val="0F172A"/>
          <w:sz w:val="23"/>
        </w:rPr>
        <w:t>Supplementary Material &amp; Appendices</w:t>
      </w:r>
    </w:p>
    <w:p>
      <w:pPr>
        <w:keepNext/>
        <w:spacing w:before="120" w:after="40"/>
      </w:pPr>
      <w:r>
        <w:rPr>
          <w:rFonts w:ascii="Times New Roman" w:hAnsi="Times New Roman"/>
          <w:b/>
          <w:color w:val="1E293B"/>
          <w:sz w:val="20"/>
        </w:rPr>
        <w:t>Appendix A: Extended Hyperparameter Protocol</w:t>
      </w:r>
    </w:p>
    <w:p>
      <w:pPr>
        <w:spacing w:before="0" w:after="60" w:line="269" w:lineRule="auto"/>
      </w:pPr>
      <w:r>
        <w:rPr>
          <w:rFonts w:ascii="Times New Roman" w:hAnsi="Times New Roman"/>
          <w:i w:val="0"/>
          <w:color w:val="1F2937"/>
          <w:sz w:val="19"/>
        </w:rPr>
        <w:t>The reported models use Adam with beta1=0.9, beta2=0.999, learning rate 0.005, and weight decay 1e-4 for 10 epochs. The canonical checkpoint interval is 10 snapshots, K=10, and d_m=64. The reproducibility record should also include the validation split, any early-stopping rule, tuned hyperparameters, negative-sampling ratio, and search budget for each baseline.</w:t>
      </w:r>
    </w:p>
    <w:p>
      <w:pPr>
        <w:keepNext/>
        <w:spacing w:before="120" w:after="40"/>
      </w:pPr>
      <w:r>
        <w:rPr>
          <w:rFonts w:ascii="Times New Roman" w:hAnsi="Times New Roman"/>
          <w:b/>
          <w:color w:val="1E293B"/>
          <w:sz w:val="20"/>
        </w:rPr>
        <w:t>Appendix B: Eight-Point Non-Anticipation Audit Protocol</w:t>
      </w:r>
    </w:p>
    <w:p>
      <w:pPr>
        <w:spacing w:before="0" w:after="60" w:line="269" w:lineRule="auto"/>
      </w:pPr>
      <w:r>
        <w:rPr>
          <w:rFonts w:ascii="Times New Roman" w:hAnsi="Times New Roman"/>
          <w:i w:val="0"/>
          <w:color w:val="1F2937"/>
          <w:sz w:val="19"/>
        </w:rPr>
        <w:t>The eight-point audit was applied to every reported run: candidate-edge parity, label parity, strict temporal masking, post-evaluation memory updates, feature and node-identity checks, checkpoint masking, regime-boundary blindness, and deterministic shared negative generation. These conditions are suitable for automated assertions in the released implementation.</w:t>
      </w:r>
    </w:p>
    <w:p>
      <w:pPr>
        <w:keepNext/>
        <w:spacing w:before="120" w:after="40"/>
      </w:pPr>
      <w:r>
        <w:rPr>
          <w:rFonts w:ascii="Times New Roman" w:hAnsi="Times New Roman"/>
          <w:b/>
          <w:color w:val="1E293B"/>
          <w:sz w:val="20"/>
        </w:rPr>
        <w:t>Appendix C: Analytical Memory and Complexity Derivations</w:t>
      </w:r>
    </w:p>
    <w:p>
      <w:pPr>
        <w:spacing w:before="0" w:after="60" w:line="269" w:lineRule="auto"/>
      </w:pPr>
      <w:r>
        <w:rPr>
          <w:rFonts w:ascii="Times New Roman" w:hAnsi="Times New Roman"/>
          <w:i w:val="0"/>
          <w:color w:val="1F2937"/>
          <w:sz w:val="19"/>
        </w:rPr>
        <w:t>The analytical RAM footprint M_RAM required by the episodic memory bank is derived as the sum of continuous node memory, episodic key vectors, and snapshot node value matrices:</w:t>
      </w:r>
    </w:p>
    <w:p>
      <w:pPr>
        <w:keepNext/>
        <w:spacing w:before="40" w:after="60"/>
        <w:jc w:val="center"/>
      </w:pPr>
      <w:r>
        <w:rPr>
          <w:rFonts w:ascii="Times New Roman" w:hAnsi="Times New Roman"/>
          <w:b/>
          <w:i/>
          <w:color w:val="0F172A"/>
          <w:sz w:val="19"/>
        </w:rPr>
        <w:t>M_RAM = 4 * (N * d_m + K * d_k + K * N * d_m) / 1024  (in KB)    (24)</w:t>
      </w:r>
    </w:p>
    <w:p>
      <w:pPr>
        <w:spacing w:before="0" w:after="60" w:line="269" w:lineRule="auto"/>
      </w:pPr>
      <w:r>
        <w:rPr>
          <w:rFonts w:ascii="Times New Roman" w:hAnsi="Times New Roman"/>
          <w:i w:val="0"/>
          <w:color w:val="1F2937"/>
          <w:sz w:val="19"/>
        </w:rPr>
        <w:t>For canonical parameters (N=300, d_m=64, d_k=64, K=10), Eq. (24) evaluates to 4 * (19,200 + 640 + 192,000) / 1024 = 827.5 KB. For large-scale graphs with N=10,000 and K=20, Eq. (24) yields an estimated bank size of 52.5 MB.</w:t>
      </w:r>
    </w:p>
    <w:p>
      <w:pPr>
        <w:spacing w:before="0" w:after="60" w:line="269" w:lineRule="auto"/>
      </w:pPr>
      <w:r>
        <w:rPr>
          <w:rFonts w:ascii="Times New Roman" w:hAnsi="Times New Roman"/>
          <w:i w:val="0"/>
          <w:color w:val="1F2937"/>
          <w:sz w:val="19"/>
        </w:rPr>
        <w:t>The per-candidate scoring latency complexity T_infer is governed by attention routing and gated MLP decoding:</w:t>
      </w:r>
    </w:p>
    <w:p>
      <w:pPr>
        <w:keepNext/>
        <w:spacing w:before="40" w:after="60"/>
        <w:jc w:val="center"/>
      </w:pPr>
      <w:r>
        <w:rPr>
          <w:rFonts w:ascii="Times New Roman" w:hAnsi="Times New Roman"/>
          <w:b/>
          <w:i/>
          <w:color w:val="0F172A"/>
          <w:sz w:val="19"/>
        </w:rPr>
        <w:t>T_infer = O(d_m * d_mlp + K * d_k + K * d_m)    (25)</w:t>
      </w:r>
    </w:p>
    <w:p>
      <w:pPr>
        <w:spacing w:before="0" w:after="60" w:line="269" w:lineRule="auto"/>
      </w:pPr>
      <w:r>
        <w:rPr>
          <w:rFonts w:ascii="Times New Roman" w:hAnsi="Times New Roman"/>
          <w:i w:val="0"/>
          <w:color w:val="1F2937"/>
          <w:sz w:val="19"/>
        </w:rPr>
        <w:t>which scales linearly with bank capacity K, matching the sub-3 microsecond empirical profile reported in Table 10.</w:t>
      </w:r>
    </w:p>
    <w:p>
      <w:pPr>
        <w:keepNext/>
        <w:spacing w:before="120" w:after="40"/>
      </w:pPr>
      <w:r>
        <w:rPr>
          <w:rFonts w:ascii="Times New Roman" w:hAnsi="Times New Roman"/>
          <w:b/>
          <w:color w:val="1E293B"/>
          <w:sz w:val="20"/>
        </w:rPr>
        <w:t>Appendix D: Real-World Episode Selection Protocol</w:t>
      </w:r>
    </w:p>
    <w:p>
      <w:pPr>
        <w:spacing w:before="0" w:after="60" w:line="269" w:lineRule="auto"/>
      </w:pPr>
      <w:r>
        <w:rPr>
          <w:rFonts w:ascii="Times New Roman" w:hAnsi="Times New Roman"/>
          <w:i w:val="0"/>
          <w:color w:val="1F2937"/>
          <w:sz w:val="19"/>
        </w:rPr>
        <w:t>The real-world analysis uses exploratory multi-week episodes from SNAP CollegeMsg (https://snap.stanford.edu/data/CollegeMsg.html) and Bitcoin-OTC (https://snap.stanford.edu/data/soc-sign-bitcoin-otc.html) [25, 26]. The reproducibility record should state the community-detection method, label-alignment procedure, overlap threshold, and treatment of overlapping CollegeMsg windows. Bitcoin-OTC is a signed trust network. We therefore do not assign market-cycle labels unless an external price series and a clearly defined segmentation rule are available.</w:t>
      </w:r>
    </w:p>
    <w:p>
      <w:pPr>
        <w:keepNext/>
        <w:spacing w:before="120" w:after="40"/>
      </w:pPr>
      <w:r>
        <w:rPr>
          <w:rFonts w:ascii="Times New Roman" w:hAnsi="Times New Roman"/>
          <w:b/>
          <w:color w:val="1E293B"/>
          <w:sz w:val="20"/>
        </w:rPr>
        <w:t>Appendix E: Early Benchmark Prototypes and Failure Modes</w:t>
      </w:r>
    </w:p>
    <w:p>
      <w:pPr>
        <w:spacing w:before="0" w:after="60" w:line="269" w:lineRule="auto"/>
      </w:pPr>
      <w:r>
        <w:rPr>
          <w:rFonts w:ascii="Times New Roman" w:hAnsi="Times New Roman"/>
          <w:i w:val="0"/>
          <w:color w:val="1F2937"/>
          <w:sz w:val="19"/>
        </w:rPr>
        <w:t>Early Erdős-Rényi prototypes allowed density to change from rho_A=0.20 to rho_B=0.05. That made the regime transition easy to detect from density alone. The canonical benchmark removes that shortcut by keeping rho=0.10 across regimes.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