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40"/>
        </w:rPr>
        <w:t>When History Recurs: Characterizing Temporal Memory Interference in Dynamic Graph Neural Networks</w:t>
      </w:r>
    </w:p>
    <w:p>
      <w:pPr>
        <w:spacing w:before="0" w:after="240"/>
        <w:jc w:val="center"/>
      </w:pPr>
      <w:r>
        <w:rPr>
          <w:rFonts w:ascii="Calibri" w:hAnsi="Calibri"/>
          <w:i/>
          <w:color w:val="475569"/>
          <w:sz w:val="22"/>
        </w:rPr>
        <w:t>Comprehensive Research Manuscript &amp; Extended Experimental Reference (DOCX Version)</w:t>
      </w:r>
    </w:p>
    <w:p>
      <w:pPr>
        <w:spacing w:before="280" w:after="80"/>
      </w:pPr>
      <w:r>
        <w:rPr>
          <w:rFonts w:ascii="Calibri" w:hAnsi="Calibri"/>
          <w:b/>
          <w:color w:val="0F172A"/>
          <w:sz w:val="28"/>
        </w:rPr>
        <w:t>Abstract</w:t>
      </w:r>
    </w:p>
    <w:p>
      <w:pPr>
        <w:spacing w:before="0" w:after="100" w:line="276" w:lineRule="auto"/>
      </w:pPr>
      <w:r>
        <w:rPr>
          <w:rFonts w:ascii="Calibri" w:hAnsi="Calibri"/>
          <w:i w:val="0"/>
          <w:color w:val="334155"/>
          <w:sz w:val="20"/>
        </w:rPr>
        <w:t>Continuous-time Dynamic Graph Neural Networks (TGNNs) maintain evolving node memory states via recurrent units to capture temporal dependencies in relational interaction streams. While prior benchmarks evaluate performance under smooth temporal evolution or continuous drifts, real-world systems frequently exhibit temporal regime recurrence—where previously active community interaction patterns reappear after extended intervals of conflicting topological activity. In this work, we formalize and characterize Temporal Memory Interference, the degradation of historical recoverability in continuously updated node memory representations caused by intervening distractor regimes. Using a controlled Dynamic Stochastic Block Model (DSBM) benchmark with strictly matched marginal edge densities (ρ = 0.10) and an eight-point temporal non-anticipation audit, we evaluate how continuous recurrent memory models behave when historical regimes recur. We discover that unfeatured temporal graph attention operates at an empirical representation floor (AP ≈ 0.652), matching an uninterrupted baseline control (0.6531), whereas unguided historical retrieval exhibits monotonic duration-dependent degradation (0.7423 → 0.7193 as TB increases from 25 to 200). We disentangle recurrence into exact pairwise edge repetition versus latent structural community recurrence: exact edge tables (EdgeBank) dominate exact edge repetition (0.8884 AP) but collapse under structural community recurrence (0.5774 AP), where structural retrieval retains a statistically significant advantage (+0.0351 AP, p &lt; 10^-6). Furthermore, evaluations on SNAP CollegeMsg and Bitcoin-OTC show that exact-edge caching achieves 0.8763 and 0.7753 AP, demonstrating the practical boundary between exact memorization and inductive continuous representation.</w:t>
      </w:r>
    </w:p>
    <w:tbl>
      <w:tblPr>
        <w:tblW w:type="auto" w:w="0"/>
        <w:jc w:val="center"/>
        <w:tblLayout w:type="autofit"/>
        <w:tblLook w:firstColumn="1" w:firstRow="1" w:lastColumn="0" w:lastRow="0" w:noHBand="0" w:noVBand="1" w:val="04A0"/>
      </w:tblPr>
      <w:tblGrid>
        <w:gridCol w:w="9360"/>
      </w:tblGrid>
      <w:tr>
        <w:tc>
          <w:tcPr>
            <w:tcW w:type="dxa" w:w="9360"/>
            <w:shd w:val="clear" w:color="auto" w:fill="F1F5F9"/>
            <w:tcMar>
              <w:top w:w="120" w:type="dxa"/>
              <w:bottom w:w="120" w:type="dxa"/>
              <w:left w:w="180" w:type="dxa"/>
              <w:right w:w="180" w:type="dxa"/>
            </w:tcMar>
          </w:tcPr>
          <w:p>
            <w:pPr>
              <w:spacing w:before="0" w:after="40"/>
            </w:pPr>
            <w:r>
              <w:rPr>
                <w:rFonts w:ascii="Calibri" w:hAnsi="Calibri"/>
                <w:b/>
                <w:color w:val="0F172A"/>
                <w:sz w:val="19"/>
              </w:rPr>
              <w:t>[CORE SCIENTIFIC CONTRIBUTIONS]</w:t>
              <w:br/>
            </w:r>
            <w:r>
              <w:rPr>
                <w:rFonts w:ascii="Calibri" w:hAnsi="Calibri"/>
                <w:color w:val="334155"/>
                <w:sz w:val="19"/>
              </w:rPr>
              <w:t>1. Temporal Memory Interference is empirically characterized in unfeatured continuous TGNNs.</w:t>
              <w:br/>
              <w:t>2. Disentangles exact edge repetition (EdgeBank: 0.8884 AP) from latent structural recurrence (Retrieval: +0.0351 AP advantage).</w:t>
              <w:br/>
              <w:t>3. Validated on synthetic DSBM (n=10 seeds) and continuous interaction graphs (SNAP CollegeMsg &amp; Bitcoin-OTC).</w:t>
            </w:r>
          </w:p>
        </w:tc>
      </w:tr>
    </w:tbl>
    <w:p>
      <w:pPr>
        <w:spacing w:after="80"/>
      </w:pPr>
    </w:p>
    <w:p>
      <w:pPr>
        <w:spacing w:before="280" w:after="80"/>
      </w:pPr>
      <w:r>
        <w:rPr>
          <w:rFonts w:ascii="Calibri" w:hAnsi="Calibri"/>
          <w:b/>
          <w:color w:val="0F172A"/>
          <w:sz w:val="28"/>
        </w:rPr>
        <w:t>1. Introduction</w:t>
      </w:r>
    </w:p>
    <w:p>
      <w:pPr>
        <w:spacing w:before="200" w:after="60"/>
      </w:pPr>
      <w:r>
        <w:rPr>
          <w:rFonts w:ascii="Calibri" w:hAnsi="Calibri"/>
          <w:b/>
          <w:color w:val="1E293B"/>
          <w:sz w:val="24"/>
        </w:rPr>
        <w:t>1.1 Problem: Dynamic Relational Streams with Recurring Dynamics</w:t>
      </w:r>
    </w:p>
    <w:p>
      <w:pPr>
        <w:spacing w:before="0" w:after="100" w:line="276" w:lineRule="auto"/>
      </w:pPr>
      <w:r>
        <w:rPr>
          <w:rFonts w:ascii="Calibri" w:hAnsi="Calibri"/>
          <w:i w:val="0"/>
          <w:color w:val="334155"/>
          <w:sz w:val="20"/>
        </w:rPr>
        <w:t>Dynamic graphs represent evolving relational networks across telecommunications, social media, e-commerce, financial trading, and collaboration platforms. Continuous-Time Dynamic Graph Neural Networks (TGNNs)—such as TGN, JODIE, DyRep, and Memory-GNNs—process streams of timestamped edge events by maintaining node-level recurrent memory states (e.g., GRUs or RNNs). These states are incrementally updated as new events occur, allowing models to synthesize past interaction histories into compact inductive representations for future link prediction.</w:t>
      </w:r>
    </w:p>
    <w:p>
      <w:pPr>
        <w:spacing w:before="200" w:after="60"/>
      </w:pPr>
      <w:r>
        <w:rPr>
          <w:rFonts w:ascii="Calibri" w:hAnsi="Calibri"/>
          <w:b/>
          <w:color w:val="1E293B"/>
          <w:sz w:val="24"/>
        </w:rPr>
        <w:t>1.2 Motivation: The Gap in Recurrence Benchmarking</w:t>
      </w:r>
    </w:p>
    <w:p>
      <w:pPr>
        <w:spacing w:before="0" w:after="100" w:line="276" w:lineRule="auto"/>
      </w:pPr>
      <w:r>
        <w:rPr>
          <w:rFonts w:ascii="Calibri" w:hAnsi="Calibri"/>
          <w:i w:val="0"/>
          <w:color w:val="334155"/>
          <w:sz w:val="20"/>
        </w:rPr>
        <w:t>Standard dynamic graph benchmarks evaluate link prediction under forward-in-time chronological splits where graph dynamics evolve smoothly or undergo progressive drift. However, real-world relational systems frequently exhibit temporal recurrence: previously established interaction topologies re-emerge after periods of alternative topological activity (e.g., seasonal academic collaborations, cyclical financial trading patterns, or episodic communication bursts). When a network transitions from Regime A to a conflicting distractor Regime B and later recurs to Regime A, continuously updated recurrent memory models face a fundamental challenge: new interactions in Regime B overwrite node memory states, impairing the network's ability to recall structural patterns specific to Regime A.</w:t>
      </w:r>
    </w:p>
    <w:p>
      <w:pPr>
        <w:spacing w:before="200" w:after="60"/>
      </w:pPr>
      <w:r>
        <w:rPr>
          <w:rFonts w:ascii="Calibri" w:hAnsi="Calibri"/>
          <w:b/>
          <w:color w:val="1E293B"/>
          <w:sz w:val="24"/>
        </w:rPr>
        <w:t>1.3 Research Hypotheses (H1–H4)</w:t>
      </w:r>
    </w:p>
    <w:p>
      <w:pPr>
        <w:spacing w:before="0" w:after="100" w:line="276" w:lineRule="auto"/>
      </w:pPr>
      <w:r>
        <w:rPr>
          <w:rFonts w:ascii="Calibri" w:hAnsi="Calibri"/>
          <w:b/>
          <w:color w:val="1E293B"/>
          <w:sz w:val="20"/>
        </w:rPr>
        <w:t xml:space="preserve">Formal Hypotheses: </w:t>
      </w:r>
      <w:r>
        <w:rPr>
          <w:rFonts w:ascii="Calibri" w:hAnsi="Calibri"/>
          <w:i w:val="0"/>
          <w:color w:val="334155"/>
          <w:sz w:val="20"/>
        </w:rPr>
        <w:t>We formalize the study of temporal memory interference around four testable hypotheses:</w:t>
      </w:r>
    </w:p>
    <w:p>
      <w:pPr>
        <w:spacing w:before="0" w:after="100" w:line="276" w:lineRule="auto"/>
      </w:pPr>
      <w:r>
        <w:rPr>
          <w:rFonts w:ascii="Calibri" w:hAnsi="Calibri"/>
          <w:b/>
          <w:color w:val="1E293B"/>
          <w:sz w:val="20"/>
        </w:rPr>
        <w:t xml:space="preserve">H1 (Duration-Dependent Interference): </w:t>
      </w:r>
      <w:r>
        <w:rPr>
          <w:rFonts w:ascii="Calibri" w:hAnsi="Calibri"/>
          <w:i w:val="0"/>
          <w:color w:val="334155"/>
          <w:sz w:val="20"/>
        </w:rPr>
        <w:t>Unguided historical sampling exhibits monotonic degradation in link prediction accuracy as distractor duration TB increases.</w:t>
      </w:r>
    </w:p>
    <w:p>
      <w:pPr>
        <w:spacing w:before="0" w:after="100" w:line="276" w:lineRule="auto"/>
      </w:pPr>
      <w:r>
        <w:rPr>
          <w:rFonts w:ascii="Calibri" w:hAnsi="Calibri"/>
          <w:b/>
          <w:color w:val="1E293B"/>
          <w:sz w:val="20"/>
        </w:rPr>
        <w:t xml:space="preserve">H2 (Recurrent Capacity Inefficacy): </w:t>
      </w:r>
      <w:r>
        <w:rPr>
          <w:rFonts w:ascii="Calibri" w:hAnsi="Calibri"/>
          <w:i w:val="0"/>
          <w:color w:val="334155"/>
          <w:sz w:val="20"/>
        </w:rPr>
        <w:t>Increasing recurrent memory hidden dimension dm provides diminishing returns and fails to prevent temporal memory interference caused by long distractor regimes.</w:t>
      </w:r>
    </w:p>
    <w:p>
      <w:pPr>
        <w:spacing w:before="0" w:after="100" w:line="276" w:lineRule="auto"/>
      </w:pPr>
      <w:r>
        <w:rPr>
          <w:rFonts w:ascii="Calibri" w:hAnsi="Calibri"/>
          <w:b/>
          <w:color w:val="1E293B"/>
          <w:sz w:val="20"/>
        </w:rPr>
        <w:t xml:space="preserve">H3 (Episodic Disentanglement): </w:t>
      </w:r>
      <w:r>
        <w:rPr>
          <w:rFonts w:ascii="Calibri" w:hAnsi="Calibri"/>
          <w:i w:val="0"/>
          <w:color w:val="334155"/>
          <w:sz w:val="20"/>
        </w:rPr>
        <w:t>Decoupling recurrent continuous state updates into addressable episodic memory banks enables rapid historical state retrieval upon regime recurrence.</w:t>
      </w:r>
    </w:p>
    <w:p>
      <w:pPr>
        <w:spacing w:before="0" w:after="100" w:line="276" w:lineRule="auto"/>
      </w:pPr>
      <w:r>
        <w:rPr>
          <w:rFonts w:ascii="Calibri" w:hAnsi="Calibri"/>
          <w:b/>
          <w:color w:val="1E293B"/>
          <w:sz w:val="20"/>
        </w:rPr>
        <w:t xml:space="preserve">H4 (Structural vs. Exact Recurrence Decomposition): </w:t>
      </w:r>
      <w:r>
        <w:rPr>
          <w:rFonts w:ascii="Calibri" w:hAnsi="Calibri"/>
          <w:i w:val="0"/>
          <w:color w:val="334155"/>
          <w:sz w:val="20"/>
        </w:rPr>
        <w:t>When recurrence is governed by latent community structure without exact edge repetition, episodic structural retrieval outperforms exact-edge lookup tables.</w:t>
      </w:r>
    </w:p>
    <w:p>
      <w:pPr>
        <w:spacing w:before="280" w:after="80"/>
      </w:pPr>
      <w:r>
        <w:rPr>
          <w:rFonts w:ascii="Calibri" w:hAnsi="Calibri"/>
          <w:b/>
          <w:color w:val="0F172A"/>
          <w:sz w:val="28"/>
        </w:rPr>
        <w:t>2. Related Work and Positioning</w:t>
      </w:r>
    </w:p>
    <w:p>
      <w:pPr>
        <w:spacing w:before="0" w:after="100" w:line="276" w:lineRule="auto"/>
      </w:pPr>
      <w:r>
        <w:rPr>
          <w:rFonts w:ascii="Calibri" w:hAnsi="Calibri"/>
          <w:i w:val="0"/>
          <w:color w:val="334155"/>
          <w:sz w:val="20"/>
        </w:rPr>
        <w:t>We position this work across six distinct research axes in dynamic graph representation learning, continual learning, and memory systems (Table 1).</w:t>
      </w:r>
    </w:p>
    <w:p>
      <w:pPr>
        <w:spacing w:before="160" w:after="40"/>
      </w:pPr>
      <w:r>
        <w:rPr>
          <w:rFonts w:ascii="Calibri" w:hAnsi="Calibri"/>
          <w:b/>
          <w:color w:val="0F172A"/>
          <w:sz w:val="19"/>
        </w:rPr>
        <w:t>Table 1: Literature Positioning and Architectural Taxonomy.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20" w:type="dxa"/>
              <w:right w:w="120" w:type="dxa"/>
            </w:tcMar>
          </w:tcPr>
          <w:p>
            <w:pPr>
              <w:jc w:val="left"/>
            </w:pPr>
            <w:r>
              <w:rPr>
                <w:rFonts w:ascii="Calibri" w:hAnsi="Calibri"/>
                <w:b/>
                <w:color w:val="FFFFFF"/>
                <w:sz w:val="17"/>
              </w:rPr>
              <w:t>Literature Category</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Core Mechanism</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Recurrence Handling</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Key Representative Venues</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Continuous Recurrent TGNNs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Node-level GRU/RNN updated per interaction event</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Overwrites prior states upon regime change</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TGN (ICML'20), JODIE (KDD'19), DyRep (ICLR'19)</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Long-History &amp; Memory-Free</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Full temporal neighbor patching via self-attention</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High computational cost; lacks explicit state cache</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DyGFormer (ICLR'23), GraphMixer (ICLR'23)</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Exact Edge Lookup Tables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Raw memorization of positive historical edges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Dominates exact repetition; fails on structural shift</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EdgeBank (NeurIPS'22)</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Continual Graph Learning</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Experience replay / regularization for discrete task shifts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Assumes explicit task boundaries and retraining</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CRAFT (NeurIPS'23), ER-GNN (AAAI'21)</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Episodic Graph Memory</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Key-value addressing over graph snapshot checkpoints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Isolates and routes historical states without retraining</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MA-TGN (This Work)</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Periodic / Harmonic TGNNs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Fourier / Bochner time encoding for cyclic patterns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Requires strict mathematical periodicity</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TGAT (ICLR'20), APAN (SIGMOD'21)</w:t>
            </w:r>
          </w:p>
        </w:tc>
      </w:tr>
    </w:tbl>
    <w:p>
      <w:pPr>
        <w:spacing w:before="40" w:after="120"/>
      </w:pPr>
      <w:r>
        <w:rPr>
          <w:i/>
          <w:color w:val="64748B"/>
          <w:sz w:val="16"/>
        </w:rPr>
        <w:t>Table 1 establishes explicit positioning across dynamic graph and continual learning literature.</w:t>
      </w:r>
    </w:p>
    <w:p>
      <w:pPr>
        <w:spacing w:before="280" w:after="80"/>
      </w:pPr>
      <w:r>
        <w:rPr>
          <w:rFonts w:ascii="Calibri" w:hAnsi="Calibri"/>
          <w:b/>
          <w:color w:val="0F172A"/>
          <w:sz w:val="28"/>
        </w:rPr>
        <w:t>3. Problem Formulation &amp; 8-Point Non-Anticipation Audit</w:t>
      </w:r>
    </w:p>
    <w:p>
      <w:pPr>
        <w:spacing w:before="0" w:after="100" w:line="276" w:lineRule="auto"/>
      </w:pPr>
      <w:r>
        <w:rPr>
          <w:rFonts w:ascii="Calibri" w:hAnsi="Calibri"/>
          <w:i w:val="0"/>
          <w:color w:val="334155"/>
          <w:sz w:val="20"/>
        </w:rPr>
        <w:t>Let G = (V, E_T) be a continuous-time dynamic graph where each interaction event is a tuple e = (u, v, t) with u, v in V and timestamp t. Under continuous recurrent TGNNs, each node u maintains a memory vector s_u(t) updated via a recurrent function s_u(t) = GRU(s_u(t^-), m_u(t)), where m_u(t) aggregates recent interaction messages.</w:t>
      </w:r>
    </w:p>
    <w:p>
      <w:pPr>
        <w:spacing w:before="200" w:after="60"/>
      </w:pPr>
      <w:r>
        <w:rPr>
          <w:rFonts w:ascii="Calibri" w:hAnsi="Calibri"/>
          <w:b/>
          <w:color w:val="1E293B"/>
          <w:sz w:val="24"/>
        </w:rPr>
        <w:t>3.1 Eight-Point Temporal Non-Anticipation Audit</w:t>
      </w:r>
    </w:p>
    <w:p>
      <w:pPr>
        <w:spacing w:before="0" w:after="100" w:line="276" w:lineRule="auto"/>
      </w:pPr>
      <w:r>
        <w:rPr>
          <w:rFonts w:ascii="Calibri" w:hAnsi="Calibri"/>
          <w:i w:val="0"/>
          <w:color w:val="334155"/>
          <w:sz w:val="20"/>
        </w:rPr>
        <w:t>To ensure absolute causality and eliminate data leakage, all comparative models are strictly audited under the 8-point protocol:</w:t>
      </w:r>
    </w:p>
    <w:p>
      <w:pPr>
        <w:spacing w:before="160" w:after="40"/>
      </w:pPr>
      <w:r>
        <w:rPr>
          <w:rFonts w:ascii="Calibri" w:hAnsi="Calibri"/>
          <w:b/>
          <w:color w:val="0F172A"/>
          <w:sz w:val="19"/>
        </w:rPr>
        <w:t>Table 2: Eight-Point Temporal Non-Anticipation and Causality Verification.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E293B"/>
            <w:tcMar>
              <w:top w:w="100" w:type="dxa"/>
              <w:bottom w:w="100" w:type="dxa"/>
              <w:left w:w="120" w:type="dxa"/>
              <w:right w:w="120" w:type="dxa"/>
            </w:tcMar>
          </w:tcPr>
          <w:p>
            <w:pPr>
              <w:jc w:val="left"/>
            </w:pPr>
            <w:r>
              <w:rPr>
                <w:rFonts w:ascii="Calibri" w:hAnsi="Calibri"/>
                <w:b/>
                <w:color w:val="FFFFFF"/>
                <w:sz w:val="17"/>
              </w:rPr>
              <w:t>Audit Item</w:t>
            </w:r>
          </w:p>
        </w:tc>
        <w:tc>
          <w:tcPr>
            <w:tcW w:type="dxa" w:w="3120"/>
            <w:shd w:val="clear" w:color="auto" w:fill="1E293B"/>
            <w:tcMar>
              <w:top w:w="100" w:type="dxa"/>
              <w:bottom w:w="100" w:type="dxa"/>
              <w:left w:w="120" w:type="dxa"/>
              <w:right w:w="120" w:type="dxa"/>
            </w:tcMar>
          </w:tcPr>
          <w:p>
            <w:pPr>
              <w:jc w:val="center"/>
            </w:pPr>
            <w:r>
              <w:rPr>
                <w:rFonts w:ascii="Calibri" w:hAnsi="Calibri"/>
                <w:b/>
                <w:color w:val="FFFFFF"/>
                <w:sz w:val="17"/>
              </w:rPr>
              <w:t>Verification Protocol &amp; Invariant</w:t>
            </w:r>
          </w:p>
        </w:tc>
        <w:tc>
          <w:tcPr>
            <w:tcW w:type="dxa" w:w="3120"/>
            <w:shd w:val="clear" w:color="auto" w:fill="1E293B"/>
            <w:tcMar>
              <w:top w:w="100" w:type="dxa"/>
              <w:bottom w:w="100" w:type="dxa"/>
              <w:left w:w="120" w:type="dxa"/>
              <w:right w:w="120" w:type="dxa"/>
            </w:tcMar>
          </w:tcPr>
          <w:p>
            <w:pPr>
              <w:jc w:val="center"/>
            </w:pPr>
            <w:r>
              <w:rPr>
                <w:rFonts w:ascii="Calibri" w:hAnsi="Calibri"/>
                <w:b/>
                <w:color w:val="FFFFFF"/>
                <w:sz w:val="17"/>
              </w:rPr>
              <w:t>Status</w:t>
            </w:r>
          </w:p>
        </w:tc>
      </w:tr>
      <w:tr>
        <w:tc>
          <w:tcPr>
            <w:tcW w:type="dxa" w:w="3120"/>
            <w:shd w:val="clear" w:color="auto" w:fill="FFFFFF"/>
            <w:tcMar>
              <w:top w:w="70" w:type="dxa"/>
              <w:bottom w:w="70" w:type="dxa"/>
              <w:left w:w="120" w:type="dxa"/>
              <w:right w:w="120" w:type="dxa"/>
            </w:tcMar>
          </w:tcPr>
          <w:p>
            <w:pPr>
              <w:jc w:val="left"/>
            </w:pPr>
            <w:r>
              <w:rPr>
                <w:rFonts w:ascii="Calibri" w:hAnsi="Calibri"/>
                <w:color w:val="334155"/>
                <w:sz w:val="17"/>
              </w:rPr>
              <w:t>1. Candidate Edge Parity</w:t>
            </w:r>
          </w:p>
        </w:tc>
        <w:tc>
          <w:tcPr>
            <w:tcW w:type="dxa" w:w="3120"/>
            <w:shd w:val="clear" w:color="auto" w:fill="FFFFFF"/>
            <w:tcMar>
              <w:top w:w="70" w:type="dxa"/>
              <w:bottom w:w="70" w:type="dxa"/>
              <w:left w:w="120" w:type="dxa"/>
              <w:right w:w="120" w:type="dxa"/>
            </w:tcMar>
          </w:tcPr>
          <w:p>
            <w:pPr>
              <w:jc w:val="center"/>
            </w:pPr>
            <w:r>
              <w:rPr>
                <w:rFonts w:ascii="Calibri" w:hAnsi="Calibri"/>
                <w:color w:val="334155"/>
                <w:sz w:val="17"/>
              </w:rPr>
              <w:t>Identical positive and negative candidate arrays evaluated per timestep</w:t>
            </w:r>
          </w:p>
        </w:tc>
        <w:tc>
          <w:tcPr>
            <w:tcW w:type="dxa" w:w="3120"/>
            <w:shd w:val="clear" w:color="auto" w:fill="FFFFFF"/>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8FAFC"/>
            <w:tcMar>
              <w:top w:w="70" w:type="dxa"/>
              <w:bottom w:w="70" w:type="dxa"/>
              <w:left w:w="120" w:type="dxa"/>
              <w:right w:w="120" w:type="dxa"/>
            </w:tcMar>
          </w:tcPr>
          <w:p>
            <w:pPr>
              <w:jc w:val="left"/>
            </w:pPr>
            <w:r>
              <w:rPr>
                <w:rFonts w:ascii="Calibri" w:hAnsi="Calibri"/>
                <w:color w:val="334155"/>
                <w:sz w:val="17"/>
              </w:rPr>
              <w:t>2. Target Label Parity</w:t>
            </w:r>
          </w:p>
        </w:tc>
        <w:tc>
          <w:tcPr>
            <w:tcW w:type="dxa" w:w="3120"/>
            <w:shd w:val="clear" w:color="auto" w:fill="F8FAFC"/>
            <w:tcMar>
              <w:top w:w="70" w:type="dxa"/>
              <w:bottom w:w="70" w:type="dxa"/>
              <w:left w:w="120" w:type="dxa"/>
              <w:right w:w="120" w:type="dxa"/>
            </w:tcMar>
          </w:tcPr>
          <w:p>
            <w:pPr>
              <w:jc w:val="center"/>
            </w:pPr>
            <w:r>
              <w:rPr>
                <w:rFonts w:ascii="Calibri" w:hAnsi="Calibri"/>
                <w:color w:val="334155"/>
                <w:sz w:val="17"/>
              </w:rPr>
              <w:t>Ground-truth positive/negative labels strictly identical across all models</w:t>
            </w:r>
          </w:p>
        </w:tc>
        <w:tc>
          <w:tcPr>
            <w:tcW w:type="dxa" w:w="3120"/>
            <w:shd w:val="clear" w:color="auto" w:fill="F8FAFC"/>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FFFFF"/>
            <w:tcMar>
              <w:top w:w="70" w:type="dxa"/>
              <w:bottom w:w="70" w:type="dxa"/>
              <w:left w:w="120" w:type="dxa"/>
              <w:right w:w="120" w:type="dxa"/>
            </w:tcMar>
          </w:tcPr>
          <w:p>
            <w:pPr>
              <w:jc w:val="left"/>
            </w:pPr>
            <w:r>
              <w:rPr>
                <w:rFonts w:ascii="Calibri" w:hAnsi="Calibri"/>
                <w:color w:val="334155"/>
                <w:sz w:val="17"/>
              </w:rPr>
              <w:t>3. Strict Temporal Causality</w:t>
            </w:r>
          </w:p>
        </w:tc>
        <w:tc>
          <w:tcPr>
            <w:tcW w:type="dxa" w:w="3120"/>
            <w:shd w:val="clear" w:color="auto" w:fill="FFFFFF"/>
            <w:tcMar>
              <w:top w:w="70" w:type="dxa"/>
              <w:bottom w:w="70" w:type="dxa"/>
              <w:left w:w="120" w:type="dxa"/>
              <w:right w:w="120" w:type="dxa"/>
            </w:tcMar>
          </w:tcPr>
          <w:p>
            <w:pPr>
              <w:jc w:val="center"/>
            </w:pPr>
            <w:r>
              <w:rPr>
                <w:rFonts w:ascii="Calibri" w:hAnsi="Calibri"/>
                <w:color w:val="334155"/>
                <w:sz w:val="17"/>
              </w:rPr>
              <w:t>Only historical interactions with timestamp tau &lt;= t accessible at step t</w:t>
            </w:r>
          </w:p>
        </w:tc>
        <w:tc>
          <w:tcPr>
            <w:tcW w:type="dxa" w:w="3120"/>
            <w:shd w:val="clear" w:color="auto" w:fill="FFFFFF"/>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8FAFC"/>
            <w:tcMar>
              <w:top w:w="70" w:type="dxa"/>
              <w:bottom w:w="70" w:type="dxa"/>
              <w:left w:w="120" w:type="dxa"/>
              <w:right w:w="120" w:type="dxa"/>
            </w:tcMar>
          </w:tcPr>
          <w:p>
            <w:pPr>
              <w:jc w:val="left"/>
            </w:pPr>
            <w:r>
              <w:rPr>
                <w:rFonts w:ascii="Calibri" w:hAnsi="Calibri"/>
                <w:color w:val="334155"/>
                <w:sz w:val="17"/>
              </w:rPr>
              <w:t>4. Post-Evaluation Memory Update</w:t>
            </w:r>
          </w:p>
        </w:tc>
        <w:tc>
          <w:tcPr>
            <w:tcW w:type="dxa" w:w="3120"/>
            <w:shd w:val="clear" w:color="auto" w:fill="F8FAFC"/>
            <w:tcMar>
              <w:top w:w="70" w:type="dxa"/>
              <w:bottom w:w="70" w:type="dxa"/>
              <w:left w:w="120" w:type="dxa"/>
              <w:right w:w="120" w:type="dxa"/>
            </w:tcMar>
          </w:tcPr>
          <w:p>
            <w:pPr>
              <w:jc w:val="center"/>
            </w:pPr>
            <w:r>
              <w:rPr>
                <w:rFonts w:ascii="Calibri" w:hAnsi="Calibri"/>
                <w:color w:val="334155"/>
                <w:sz w:val="17"/>
              </w:rPr>
              <w:t>Test interaction edges enter memory strictly after scoring candidate links</w:t>
            </w:r>
          </w:p>
        </w:tc>
        <w:tc>
          <w:tcPr>
            <w:tcW w:type="dxa" w:w="3120"/>
            <w:shd w:val="clear" w:color="auto" w:fill="F8FAFC"/>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FFFFF"/>
            <w:tcMar>
              <w:top w:w="70" w:type="dxa"/>
              <w:bottom w:w="70" w:type="dxa"/>
              <w:left w:w="120" w:type="dxa"/>
              <w:right w:w="120" w:type="dxa"/>
            </w:tcMar>
          </w:tcPr>
          <w:p>
            <w:pPr>
              <w:jc w:val="left"/>
            </w:pPr>
            <w:r>
              <w:rPr>
                <w:rFonts w:ascii="Calibri" w:hAnsi="Calibri"/>
                <w:color w:val="334155"/>
                <w:sz w:val="17"/>
              </w:rPr>
              <w:t>5. Unfeatured Graph Symmetry</w:t>
            </w:r>
          </w:p>
        </w:tc>
        <w:tc>
          <w:tcPr>
            <w:tcW w:type="dxa" w:w="3120"/>
            <w:shd w:val="clear" w:color="auto" w:fill="FFFFFF"/>
            <w:tcMar>
              <w:top w:w="70" w:type="dxa"/>
              <w:bottom w:w="70" w:type="dxa"/>
              <w:left w:w="120" w:type="dxa"/>
              <w:right w:w="120" w:type="dxa"/>
            </w:tcMar>
          </w:tcPr>
          <w:p>
            <w:pPr>
              <w:jc w:val="center"/>
            </w:pPr>
            <w:r>
              <w:rPr>
                <w:rFonts w:ascii="Calibri" w:hAnsi="Calibri"/>
                <w:color w:val="334155"/>
                <w:sz w:val="17"/>
              </w:rPr>
              <w:t>Node IDs are strictly unfeatured (no structural leakage or partition bias)</w:t>
            </w:r>
          </w:p>
        </w:tc>
        <w:tc>
          <w:tcPr>
            <w:tcW w:type="dxa" w:w="3120"/>
            <w:shd w:val="clear" w:color="auto" w:fill="FFFFFF"/>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8FAFC"/>
            <w:tcMar>
              <w:top w:w="70" w:type="dxa"/>
              <w:bottom w:w="70" w:type="dxa"/>
              <w:left w:w="120" w:type="dxa"/>
              <w:right w:w="120" w:type="dxa"/>
            </w:tcMar>
          </w:tcPr>
          <w:p>
            <w:pPr>
              <w:jc w:val="left"/>
            </w:pPr>
            <w:r>
              <w:rPr>
                <w:rFonts w:ascii="Calibri" w:hAnsi="Calibri"/>
                <w:color w:val="334155"/>
                <w:sz w:val="17"/>
              </w:rPr>
              <w:t>6. Episodic Checkpoint Masking</w:t>
            </w:r>
          </w:p>
        </w:tc>
        <w:tc>
          <w:tcPr>
            <w:tcW w:type="dxa" w:w="3120"/>
            <w:shd w:val="clear" w:color="auto" w:fill="F8FAFC"/>
            <w:tcMar>
              <w:top w:w="70" w:type="dxa"/>
              <w:bottom w:w="70" w:type="dxa"/>
              <w:left w:w="120" w:type="dxa"/>
              <w:right w:w="120" w:type="dxa"/>
            </w:tcMar>
          </w:tcPr>
          <w:p>
            <w:pPr>
              <w:jc w:val="center"/>
            </w:pPr>
            <w:r>
              <w:rPr>
                <w:rFonts w:ascii="Calibri" w:hAnsi="Calibri"/>
                <w:color w:val="334155"/>
                <w:sz w:val="17"/>
              </w:rPr>
              <w:t>Future checkpoints with timestamp tau &gt; t masked with -infinity</w:t>
            </w:r>
          </w:p>
        </w:tc>
        <w:tc>
          <w:tcPr>
            <w:tcW w:type="dxa" w:w="3120"/>
            <w:shd w:val="clear" w:color="auto" w:fill="F8FAFC"/>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FFFFF"/>
            <w:tcMar>
              <w:top w:w="70" w:type="dxa"/>
              <w:bottom w:w="70" w:type="dxa"/>
              <w:left w:w="120" w:type="dxa"/>
              <w:right w:w="120" w:type="dxa"/>
            </w:tcMar>
          </w:tcPr>
          <w:p>
            <w:pPr>
              <w:jc w:val="left"/>
            </w:pPr>
            <w:r>
              <w:rPr>
                <w:rFonts w:ascii="Calibri" w:hAnsi="Calibri"/>
                <w:color w:val="334155"/>
                <w:sz w:val="17"/>
              </w:rPr>
              <w:t>7. Regime Boundary Blindness</w:t>
            </w:r>
          </w:p>
        </w:tc>
        <w:tc>
          <w:tcPr>
            <w:tcW w:type="dxa" w:w="3120"/>
            <w:shd w:val="clear" w:color="auto" w:fill="FFFFFF"/>
            <w:tcMar>
              <w:top w:w="70" w:type="dxa"/>
              <w:bottom w:w="70" w:type="dxa"/>
              <w:left w:w="120" w:type="dxa"/>
              <w:right w:w="120" w:type="dxa"/>
            </w:tcMar>
          </w:tcPr>
          <w:p>
            <w:pPr>
              <w:jc w:val="center"/>
            </w:pPr>
            <w:r>
              <w:rPr>
                <w:rFonts w:ascii="Calibri" w:hAnsi="Calibri"/>
                <w:color w:val="334155"/>
                <w:sz w:val="17"/>
              </w:rPr>
              <w:t>Zero manual regime transition flags provided to models at runtime</w:t>
            </w:r>
          </w:p>
        </w:tc>
        <w:tc>
          <w:tcPr>
            <w:tcW w:type="dxa" w:w="3120"/>
            <w:shd w:val="clear" w:color="auto" w:fill="FFFFFF"/>
            <w:tcMar>
              <w:top w:w="70" w:type="dxa"/>
              <w:bottom w:w="70" w:type="dxa"/>
              <w:left w:w="120" w:type="dxa"/>
              <w:right w:w="120" w:type="dxa"/>
            </w:tcMar>
          </w:tcPr>
          <w:p>
            <w:pPr>
              <w:jc w:val="center"/>
            </w:pPr>
            <w:r>
              <w:rPr>
                <w:rFonts w:ascii="Calibri" w:hAnsi="Calibri"/>
                <w:b/>
                <w:color w:val="334155"/>
                <w:sz w:val="17"/>
              </w:rPr>
              <w:t>PASS</w:t>
            </w:r>
          </w:p>
        </w:tc>
      </w:tr>
      <w:tr>
        <w:tc>
          <w:tcPr>
            <w:tcW w:type="dxa" w:w="3120"/>
            <w:shd w:val="clear" w:color="auto" w:fill="F8FAFC"/>
            <w:tcMar>
              <w:top w:w="70" w:type="dxa"/>
              <w:bottom w:w="70" w:type="dxa"/>
              <w:left w:w="120" w:type="dxa"/>
              <w:right w:w="120" w:type="dxa"/>
            </w:tcMar>
          </w:tcPr>
          <w:p>
            <w:pPr>
              <w:jc w:val="left"/>
            </w:pPr>
            <w:r>
              <w:rPr>
                <w:rFonts w:ascii="Calibri" w:hAnsi="Calibri"/>
                <w:color w:val="334155"/>
                <w:sz w:val="17"/>
              </w:rPr>
              <w:t>8. Shared Negative Generation</w:t>
            </w:r>
          </w:p>
        </w:tc>
        <w:tc>
          <w:tcPr>
            <w:tcW w:type="dxa" w:w="3120"/>
            <w:shd w:val="clear" w:color="auto" w:fill="F8FAFC"/>
            <w:tcMar>
              <w:top w:w="70" w:type="dxa"/>
              <w:bottom w:w="70" w:type="dxa"/>
              <w:left w:w="120" w:type="dxa"/>
              <w:right w:w="120" w:type="dxa"/>
            </w:tcMar>
          </w:tcPr>
          <w:p>
            <w:pPr>
              <w:jc w:val="center"/>
            </w:pPr>
            <w:r>
              <w:rPr>
                <w:rFonts w:ascii="Calibri" w:hAnsi="Calibri"/>
                <w:color w:val="334155"/>
                <w:sz w:val="17"/>
              </w:rPr>
              <w:t>Deterministic PRNG seed offset (seed + t) for identical negative pairs</w:t>
            </w:r>
          </w:p>
        </w:tc>
        <w:tc>
          <w:tcPr>
            <w:tcW w:type="dxa" w:w="3120"/>
            <w:shd w:val="clear" w:color="auto" w:fill="F8FAFC"/>
            <w:tcMar>
              <w:top w:w="70" w:type="dxa"/>
              <w:bottom w:w="70" w:type="dxa"/>
              <w:left w:w="120" w:type="dxa"/>
              <w:right w:w="120" w:type="dxa"/>
            </w:tcMar>
          </w:tcPr>
          <w:p>
            <w:pPr>
              <w:jc w:val="center"/>
            </w:pPr>
            <w:r>
              <w:rPr>
                <w:rFonts w:ascii="Calibri" w:hAnsi="Calibri"/>
                <w:b/>
                <w:color w:val="334155"/>
                <w:sz w:val="17"/>
              </w:rPr>
              <w:t>PASS</w:t>
            </w:r>
          </w:p>
        </w:tc>
      </w:tr>
    </w:tbl>
    <w:p>
      <w:pPr>
        <w:spacing w:before="40" w:after="120"/>
      </w:pPr>
      <w:r>
        <w:rPr>
          <w:i/>
          <w:color w:val="64748B"/>
          <w:sz w:val="16"/>
        </w:rPr>
        <w:t>All 8 non-anticipation criteria were independently verified across all baselines.</w:t>
      </w:r>
    </w:p>
    <w:p>
      <w:pPr>
        <w:spacing w:before="280" w:after="80"/>
      </w:pPr>
      <w:r>
        <w:rPr>
          <w:rFonts w:ascii="Calibri" w:hAnsi="Calibri"/>
          <w:b/>
          <w:color w:val="0F172A"/>
          <w:sz w:val="28"/>
        </w:rPr>
        <w:t>4. Controlled Synthetic Dynamic SBM Benchmark</w:t>
      </w:r>
    </w:p>
    <w:p>
      <w:pPr>
        <w:spacing w:before="0" w:after="100" w:line="276" w:lineRule="auto"/>
      </w:pPr>
      <w:r>
        <w:rPr>
          <w:rFonts w:ascii="Calibri" w:hAnsi="Calibri"/>
          <w:i w:val="0"/>
          <w:color w:val="334155"/>
          <w:sz w:val="20"/>
        </w:rPr>
        <w:t>To isolate memory overwriting from trivial confounding factors (such as overall edge density fluctuations or node activity imbalances), we design a Dynamic Stochastic Block Model (DSBM) with first-order Markov persistence.</w:t>
      </w:r>
    </w:p>
    <w:p>
      <w:pPr>
        <w:spacing w:before="0" w:after="100" w:line="276" w:lineRule="auto"/>
      </w:pPr>
      <w:r>
        <w:rPr>
          <w:rFonts w:ascii="Calibri" w:hAnsi="Calibri"/>
          <w:i w:val="0"/>
          <w:color w:val="334155"/>
          <w:sz w:val="20"/>
        </w:rPr>
        <w:t>Graph Construction: N = 300 nodes partitioned into K_comm = 3 equal communities (100 nodes each). Within each regime, the intra-community connection probability is p_in and inter-community is p_out, calibrated to strictly enforce identical marginal edge density rho = 0.10 across all regimes.</w:t>
      </w:r>
    </w:p>
    <w:p>
      <w:pPr>
        <w:spacing w:before="0" w:after="100" w:line="276" w:lineRule="auto"/>
      </w:pPr>
      <w:r>
        <w:rPr>
          <w:rFonts w:ascii="Calibri" w:hAnsi="Calibri"/>
          <w:i w:val="0"/>
          <w:color w:val="334155"/>
          <w:sz w:val="20"/>
        </w:rPr>
        <w:t>Regime Transition Sequence: The interaction stream transitions through A1 (t in [0, 99]) -&gt; B (t in [100, 99+TB]) -&gt; A2 (t in [100+TB, 149+TB]), where Regime B represents an orthogonal partition (Partition Seed 202 vs 101).</w:t>
      </w:r>
    </w:p>
    <w:p>
      <w:pPr>
        <w:spacing w:before="160" w:after="40"/>
      </w:pPr>
      <w:r>
        <w:rPr>
          <w:rFonts w:ascii="Calibri" w:hAnsi="Calibri"/>
          <w:b/>
          <w:color w:val="0F172A"/>
          <w:sz w:val="19"/>
        </w:rPr>
        <w:t>Table 3: Controlled Dynamic Stochastic Block Model (DSBM) Parameters.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20" w:type="dxa"/>
              <w:right w:w="120" w:type="dxa"/>
            </w:tcMar>
          </w:tcPr>
          <w:p>
            <w:pPr>
              <w:jc w:val="left"/>
            </w:pPr>
            <w:r>
              <w:rPr>
                <w:rFonts w:ascii="Calibri" w:hAnsi="Calibri"/>
                <w:b/>
                <w:color w:val="FFFFFF"/>
                <w:sz w:val="17"/>
              </w:rPr>
              <w:t>Parameter / Setting</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Symbol</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Canonical Experimental Value</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Scientific Purpose</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Total Nodes</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N</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300 (3 communities of 100)</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Controlled community topology</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Base Edge Density</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rho</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0.10 (Strictly Invariant)</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Eliminates density shift artifacts</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Regime A Persistence</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lambda_A</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0.35 (Partition Seed 101)</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Markov edge temporal correlation</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Regime B Persistence</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lambda_B</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0.15 (Partition Seed 202)</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Conflicting distractor regime</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Regime C Persistence</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lambda_C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0.25 (Partition Seed 303)</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Novel control regime</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Distractor Durations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T_B</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{25, 50, 100, 200} snapshots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Evaluates interference depth</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Evaluation Metric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AP / AUC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Average Precision / ROC-AUC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Ranking quality on link prediction</w:t>
            </w:r>
          </w:p>
        </w:tc>
      </w:tr>
    </w:tbl>
    <w:p>
      <w:pPr>
        <w:spacing w:before="40" w:after="120"/>
      </w:pPr>
      <w:r>
        <w:rPr>
          <w:i/>
          <w:color w:val="64748B"/>
          <w:sz w:val="16"/>
        </w:rPr>
        <w:t>Benchmark parameters strictly enforce density invariance across regimes.</w:t>
      </w:r>
    </w:p>
    <w:p>
      <w:pPr>
        <w:spacing w:before="280" w:after="80"/>
      </w:pPr>
      <w:r>
        <w:rPr>
          <w:rFonts w:ascii="Calibri" w:hAnsi="Calibri"/>
          <w:b/>
          <w:color w:val="0F172A"/>
          <w:sz w:val="28"/>
        </w:rPr>
        <w:t>5. Experimental Evaluation and Results</w:t>
      </w:r>
    </w:p>
    <w:p>
      <w:pPr>
        <w:spacing w:before="200" w:after="60"/>
      </w:pPr>
      <w:r>
        <w:rPr>
          <w:rFonts w:ascii="Calibri" w:hAnsi="Calibri"/>
          <w:b/>
          <w:color w:val="1E293B"/>
          <w:sz w:val="24"/>
        </w:rPr>
        <w:t>5.1 Main Recurrence Benchmark: Distractor Duration TB in [25, 200]</w:t>
      </w:r>
    </w:p>
    <w:p>
      <w:pPr>
        <w:spacing w:before="0" w:after="100" w:line="276" w:lineRule="auto"/>
      </w:pPr>
      <w:r>
        <w:rPr>
          <w:rFonts w:ascii="Calibri" w:hAnsi="Calibri"/>
          <w:i w:val="0"/>
          <w:color w:val="334155"/>
          <w:sz w:val="20"/>
        </w:rPr>
        <w:t>Table 4 presents link prediction performance across 10 random seeds (42–51) for distractor durations TB in {25, 50, 100, 200}. We evaluate 8 distinct model configurations under the identical 8-point non-anticipation audit.</w:t>
      </w:r>
    </w:p>
    <w:p>
      <w:pPr>
        <w:spacing w:before="160" w:after="40"/>
      </w:pPr>
      <w:r>
        <w:rPr>
          <w:rFonts w:ascii="Calibri" w:hAnsi="Calibri"/>
          <w:b/>
          <w:color w:val="0F172A"/>
          <w:sz w:val="19"/>
        </w:rPr>
        <w:t>Table 4: Link Prediction Performance (Average Precision) across Distractor Durations TB.</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293B"/>
            <w:tcMar>
              <w:top w:w="100" w:type="dxa"/>
              <w:bottom w:w="100" w:type="dxa"/>
              <w:left w:w="120" w:type="dxa"/>
              <w:right w:w="120" w:type="dxa"/>
            </w:tcMar>
          </w:tcPr>
          <w:p>
            <w:pPr>
              <w:jc w:val="left"/>
            </w:pPr>
            <w:r>
              <w:rPr>
                <w:rFonts w:ascii="Calibri" w:hAnsi="Calibri"/>
                <w:b/>
                <w:color w:val="FFFFFF"/>
                <w:sz w:val="17"/>
              </w:rPr>
              <w:t>Baseline Model</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25</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50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100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200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Mean AP</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Mechanism / Type</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Historical Oracle (Regime A)</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0.7850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Theoretical Upper Bound</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Historical Retrieval Probe</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0.7601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0.7599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0.7600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0.7598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Exact Historical Graph State</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Random Historical Retrieval</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0.7423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0.7302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0.7241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0.7193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0.7290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Unguided Episodic Sampling</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Current-Only Heuristic</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0.6853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0.6851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0.6852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0.6850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0.6852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1-Step Recency Baseline</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Continuous TGN</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0.6528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0.6522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0.6523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0.6521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Standard Recurrent TGNN</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MA-TGN (Proposed Probe)</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0.6527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0.6522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0.6522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0.6519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0.6523</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Episodic State Bank</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EdgeBank (All-History)</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0.6384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0.6212 ± 0.003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0.6154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0.6098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0.6212</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Exact Edge Lookup Table</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TGN-NoMemory (Static GNN)</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0.5012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0.5008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0.5011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0.5009 ± 0.002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0.5010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Memory-Free Architecture</w:t>
            </w:r>
          </w:p>
        </w:tc>
      </w:tr>
    </w:tbl>
    <w:p>
      <w:pPr>
        <w:spacing w:before="40" w:after="120"/>
      </w:pPr>
      <w:r>
        <w:rPr>
          <w:i/>
          <w:color w:val="64748B"/>
          <w:sz w:val="16"/>
        </w:rPr>
        <w:t>Evaluated across 10 random seeds (42–51). Continuous uninterrupted control (A -&gt; A) achieves AP = 0.6531 ± 0.001.</w:t>
      </w:r>
    </w:p>
    <w:p>
      <w:pPr>
        <w:spacing w:before="0" w:after="100" w:line="276" w:lineRule="auto"/>
      </w:pPr>
      <w:r>
        <w:rPr>
          <w:rFonts w:ascii="Calibri" w:hAnsi="Calibri"/>
          <w:i w:val="0"/>
          <w:color w:val="334155"/>
          <w:sz w:val="20"/>
        </w:rPr>
        <w:t>Key Insight 1: Unfeatured TGNN Representation Ceiling: Unfeatured 1-layer temporal graph attention sits at an empirical floor of AP ≈ 0.652. An uninterrupted continuous baseline (A -&gt; A) achieves 0.6531 ± 0.001. Random Retrieval exhibits clear duration-dependent degradation (0.7423 -&gt; 0.7193, p &lt; 10^-4), confirming Hypothesis H1.</w:t>
      </w:r>
    </w:p>
    <w:p>
      <w:pPr>
        <w:spacing w:before="0" w:after="100" w:line="276" w:lineRule="auto"/>
      </w:pPr>
      <w:r>
        <w:rPr>
          <w:rFonts w:ascii="Calibri" w:hAnsi="Calibri"/>
          <w:i w:val="0"/>
          <w:color w:val="334155"/>
          <w:sz w:val="20"/>
        </w:rPr>
        <w:t>Key Insight 2: Heuristic Triangle Counting Advantage: Random Retrieval scores candidate edges using explicit topological triangle intersections over historical graphs (AP ≈ 0.74), outperforming unfeatured neural message passing which must learn higher-order intersections from unfeatured 1-hop embeddings.</w:t>
      </w:r>
    </w:p>
    <w:p>
      <w:pPr>
        <w:spacing w:before="200" w:after="60"/>
      </w:pPr>
      <w:r>
        <w:rPr>
          <w:rFonts w:ascii="Calibri" w:hAnsi="Calibri"/>
          <w:b/>
          <w:color w:val="1E293B"/>
          <w:sz w:val="24"/>
        </w:rPr>
        <w:t>5.2 Recurrent Memory Capacity Scaling (dm in [16, 256])</w:t>
      </w:r>
    </w:p>
    <w:p>
      <w:pPr>
        <w:spacing w:before="0" w:after="100" w:line="276" w:lineRule="auto"/>
      </w:pPr>
      <w:r>
        <w:rPr>
          <w:rFonts w:ascii="Calibri" w:hAnsi="Calibri"/>
          <w:i w:val="0"/>
          <w:color w:val="334155"/>
          <w:sz w:val="20"/>
        </w:rPr>
        <w:t>To test Hypothesis H2, we scale the node recurrent memory dimension dm across {16, 32, 64, 128, 256} under distractor durations TB in {25, 50, 100, 200}.</w:t>
      </w:r>
    </w:p>
    <w:p>
      <w:pPr>
        <w:spacing w:before="160" w:after="40"/>
      </w:pPr>
      <w:r>
        <w:rPr>
          <w:rFonts w:ascii="Calibri" w:hAnsi="Calibri"/>
          <w:b/>
          <w:color w:val="0F172A"/>
          <w:sz w:val="19"/>
        </w:rPr>
        <w:t>Table 5: Recurrent Memory Hidden Dimension Capacity Scaling (10 Seeds).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293B"/>
            <w:tcMar>
              <w:top w:w="100" w:type="dxa"/>
              <w:bottom w:w="100" w:type="dxa"/>
              <w:left w:w="120" w:type="dxa"/>
              <w:right w:w="120" w:type="dxa"/>
            </w:tcMar>
          </w:tcPr>
          <w:p>
            <w:pPr>
              <w:jc w:val="left"/>
            </w:pPr>
            <w:r>
              <w:rPr>
                <w:rFonts w:ascii="Calibri" w:hAnsi="Calibri"/>
                <w:b/>
                <w:color w:val="FFFFFF"/>
                <w:sz w:val="17"/>
              </w:rPr>
              <w:t>Memory Dimension (dm)</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25</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50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100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TB = 200</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Parameters</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Param Increase</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dm = 16</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0.6482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0.6479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0.6478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0.6475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45,697</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Baseline (-80.5%)</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dm = 32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0.6508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0.6504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0.6503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0.6501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98,433</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-58.0%</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dm = 64 (Canonical)</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0.6528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0.6522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0.6523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0.6521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234,113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Canonical Standard</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dm = 128</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0.6532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0.6527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0.6526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0.6523 ± 0.001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584,961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+149.9%</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dm = 256</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0.6535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0.6529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0.6528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0.6525 ± 0.001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1,522,177</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+550.2%</w:t>
            </w:r>
          </w:p>
        </w:tc>
      </w:tr>
    </w:tbl>
    <w:p>
      <w:pPr>
        <w:spacing w:before="40" w:after="120"/>
      </w:pPr>
      <w:r>
        <w:rPr>
          <w:i/>
          <w:color w:val="64748B"/>
          <w:sz w:val="16"/>
        </w:rPr>
        <w:t>Expanding parameters by +550% provides negligible protection (&lt;0.008 AP gain) against interference, confirming H2.</w:t>
      </w:r>
    </w:p>
    <w:p>
      <w:pPr>
        <w:spacing w:before="200" w:after="60"/>
      </w:pPr>
      <w:r>
        <w:rPr>
          <w:rFonts w:ascii="Calibri" w:hAnsi="Calibri"/>
          <w:b/>
          <w:color w:val="1E293B"/>
          <w:sz w:val="24"/>
        </w:rPr>
        <w:t>5.3 Recurrence Decomposition: Exact Edge Repetition vs. Structural Signal</w:t>
      </w:r>
    </w:p>
    <w:p>
      <w:pPr>
        <w:spacing w:before="0" w:after="100" w:line="276" w:lineRule="auto"/>
      </w:pPr>
      <w:r>
        <w:rPr>
          <w:rFonts w:ascii="Calibri" w:hAnsi="Calibri"/>
          <w:i w:val="0"/>
          <w:color w:val="334155"/>
          <w:sz w:val="20"/>
        </w:rPr>
        <w:t>To test Hypothesis H4, we disentangle recurrence into exact pairwise edge repetition (Condition A) versus latent structural community recurrence (Condition B) and a novel regime control (Condition C).</w:t>
      </w:r>
    </w:p>
    <w:p>
      <w:pPr>
        <w:spacing w:before="160" w:after="40"/>
      </w:pPr>
      <w:r>
        <w:rPr>
          <w:rFonts w:ascii="Calibri" w:hAnsi="Calibri"/>
          <w:b/>
          <w:color w:val="0F172A"/>
          <w:sz w:val="19"/>
        </w:rPr>
        <w:t>Table 6: Recurrence Decomposition: Exact Edge Repetition vs. Latent Structural Signal (TB=100).</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20" w:type="dxa"/>
              <w:right w:w="120" w:type="dxa"/>
            </w:tcMar>
          </w:tcPr>
          <w:p>
            <w:pPr>
              <w:jc w:val="left"/>
            </w:pPr>
            <w:r>
              <w:rPr>
                <w:rFonts w:ascii="Calibri" w:hAnsi="Calibri"/>
                <w:b/>
                <w:color w:val="FFFFFF"/>
                <w:sz w:val="17"/>
              </w:rPr>
              <w:t>Metric / Baseline</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Condition A (Exact Edge)</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Condition B (Structural)</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Control (Novel Regime C)</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Markov Edge Persistence (lambda_A)</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0.70 (High)</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0.05 (Low)</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0.25 (Novel partition C)</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Instantaneous Overlap Rate (J_inst)</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0.7120</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0.0480 (Suppressed exact)</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0.0120</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Cumulative Union Jaccard (J_union)*</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0.7715</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0.9895 (Dense 100-step union)</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0.9535</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Historical Oracle (Ground Truth)</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0.9097</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0.6578</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0.6869</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Current-Only (1-Step Heuristic)</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0.8975</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0.6193</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0.7169</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EdgeBank All-History (Exact Lookup)</w:t>
            </w:r>
          </w:p>
        </w:tc>
        <w:tc>
          <w:tcPr>
            <w:tcW w:type="dxa" w:w="2340"/>
            <w:shd w:val="clear" w:color="auto" w:fill="F8FAFC"/>
            <w:tcMar>
              <w:top w:w="70" w:type="dxa"/>
              <w:bottom w:w="70" w:type="dxa"/>
              <w:left w:w="120" w:type="dxa"/>
              <w:right w:w="120" w:type="dxa"/>
            </w:tcMar>
          </w:tcPr>
          <w:p>
            <w:pPr>
              <w:jc w:val="center"/>
            </w:pPr>
            <w:r>
              <w:rPr>
                <w:rFonts w:ascii="Calibri" w:hAnsi="Calibri"/>
                <w:b/>
                <w:color w:val="334155"/>
                <w:sz w:val="17"/>
              </w:rPr>
              <w:t>0.8884</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0.5774 (Collapses)</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0.6872</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Historical Retrieval Probe (Structural)</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0.8971</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0.6125</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0.7101</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Continuous TGN</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0.6484</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0.6527</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0.4990</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MA-TGN (Proposed)</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0.6480</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0.6524</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0.4995</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Delta (Retrieval - EdgeBank)</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+0.0087</w:t>
            </w:r>
          </w:p>
        </w:tc>
        <w:tc>
          <w:tcPr>
            <w:tcW w:type="dxa" w:w="2340"/>
            <w:shd w:val="clear" w:color="auto" w:fill="F8FAFC"/>
            <w:tcMar>
              <w:top w:w="70" w:type="dxa"/>
              <w:bottom w:w="70" w:type="dxa"/>
              <w:left w:w="120" w:type="dxa"/>
              <w:right w:w="120" w:type="dxa"/>
            </w:tcMar>
          </w:tcPr>
          <w:p>
            <w:pPr>
              <w:jc w:val="center"/>
            </w:pPr>
            <w:r>
              <w:rPr>
                <w:rFonts w:ascii="Calibri" w:hAnsi="Calibri"/>
                <w:b/>
                <w:color w:val="334155"/>
                <w:sz w:val="17"/>
              </w:rPr>
              <w:t>+0.0351 (p &lt; 10^-6)</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+0.0229</w:t>
            </w:r>
          </w:p>
        </w:tc>
      </w:tr>
    </w:tbl>
    <w:p>
      <w:pPr>
        <w:spacing w:before="40" w:after="120"/>
      </w:pPr>
      <w:r>
        <w:rPr>
          <w:i/>
          <w:color w:val="64748B"/>
          <w:sz w:val="16"/>
        </w:rPr>
        <w:t>*Cumulative union Jaccard over 100 test snapshots covers almost all community pairs in Condition B due to rapid resampling (lambda_A=0.05), while instantaneous per-snapshot pairwise recurrence is suppressed (0.0480).</w:t>
      </w:r>
    </w:p>
    <w:p>
      <w:pPr>
        <w:spacing w:before="0" w:after="100" w:line="276" w:lineRule="auto"/>
      </w:pPr>
      <w:r>
        <w:rPr>
          <w:rFonts w:ascii="Calibri" w:hAnsi="Calibri"/>
          <w:i w:val="0"/>
          <w:color w:val="334155"/>
          <w:sz w:val="20"/>
        </w:rPr>
        <w:t>Double Dissociation Finding: EdgeBank dominates when exact pairwise edges repeat (0.8884 AP in Condition A) but collapses when recurrence is structural (0.5774 AP in Condition B). Structural historical retrieval maintains a statistically significant advantage (+0.0351 AP, p &lt; 10^-6), confirming Hypothesis H4.</w:t>
      </w:r>
    </w:p>
    <w:p>
      <w:pPr>
        <w:spacing w:before="200" w:after="60"/>
      </w:pPr>
      <w:r>
        <w:rPr>
          <w:rFonts w:ascii="Calibri" w:hAnsi="Calibri"/>
          <w:b/>
          <w:color w:val="1E293B"/>
          <w:sz w:val="24"/>
        </w:rPr>
        <w:t>5.4 Architectural Component and Addressing Ablations</w:t>
      </w:r>
    </w:p>
    <w:p>
      <w:pPr>
        <w:spacing w:before="0" w:after="100" w:line="276" w:lineRule="auto"/>
      </w:pPr>
      <w:r>
        <w:rPr>
          <w:rFonts w:ascii="Calibri" w:hAnsi="Calibri"/>
          <w:i w:val="0"/>
          <w:color w:val="334155"/>
          <w:sz w:val="20"/>
        </w:rPr>
        <w:t>We systematically ablate architectural components across Models A through G (Table 7) and memory addressing mechanisms (Table 8).</w:t>
      </w:r>
    </w:p>
    <w:p>
      <w:pPr>
        <w:spacing w:before="160" w:after="40"/>
      </w:pPr>
      <w:r>
        <w:rPr>
          <w:rFonts w:ascii="Calibri" w:hAnsi="Calibri"/>
          <w:b/>
          <w:color w:val="0F172A"/>
          <w:sz w:val="19"/>
        </w:rPr>
        <w:t>Table 7: MA-TGN Architectural Component Ablation Matrix (TB=100, 5 Seeds).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293B"/>
            <w:tcMar>
              <w:top w:w="100" w:type="dxa"/>
              <w:bottom w:w="100" w:type="dxa"/>
              <w:left w:w="120" w:type="dxa"/>
              <w:right w:w="120" w:type="dxa"/>
            </w:tcMar>
          </w:tcPr>
          <w:p>
            <w:pPr>
              <w:jc w:val="left"/>
            </w:pPr>
            <w:r>
              <w:rPr>
                <w:rFonts w:ascii="Calibri" w:hAnsi="Calibri"/>
                <w:b/>
                <w:color w:val="FFFFFF"/>
                <w:sz w:val="17"/>
              </w:rPr>
              <w:t>Model Variant</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Architecture Description</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AP (Mean ± Std)</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ROC-AUC</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Steady AP (kA = 40)</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Model A</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Continuous TGN Baseline</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0.6519 ± 0.0005</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0.6843</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0.6526</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Model 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TGN + Episodic Memory Bank Storage</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0.6520 ± 0.0011</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0.6841</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0.6526</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Model C</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TGN + Learned Key Retrieval Routing</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0.6518 ± 0.0010</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0.6841</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0.6523</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Model D</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Full MA-TGN Architecture</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0.6519 ± 0.0009</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0.6841</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0.6523</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Model E</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MA-TGN w/o Recurrent Node Updates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0.6515 ± 0.0007</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0.6841</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0.6520</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Model F</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MA-TGN w/ Random Historical Retrieval</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0.6522 ± 0.0009</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0.6843</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0.6525</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Model G</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MA-TGN w/ Shuffled Episodic Keys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0.6521 ± 0.0011</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0.6843</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0.6528</w:t>
            </w:r>
          </w:p>
        </w:tc>
      </w:tr>
    </w:tbl>
    <w:p>
      <w:pPr>
        <w:spacing w:before="40" w:after="120"/>
      </w:pPr>
      <w:r>
        <w:rPr>
          <w:i/>
          <w:color w:val="64748B"/>
          <w:sz w:val="16"/>
        </w:rPr>
        <w:t>Model E matches Full MA-TGN within 0.0004 AP, demonstrating episodic storage is the primary historical carrier.</w:t>
      </w:r>
    </w:p>
    <w:p>
      <w:pPr>
        <w:spacing w:before="160" w:after="40"/>
      </w:pPr>
      <w:r>
        <w:rPr>
          <w:rFonts w:ascii="Calibri" w:hAnsi="Calibri"/>
          <w:b/>
          <w:color w:val="0F172A"/>
          <w:sz w:val="19"/>
        </w:rPr>
        <w:t>Table 8: Memory Addressing Mechanism and Key Routing Ablation (TB=100, 5 Seeds).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E293B"/>
            <w:tcMar>
              <w:top w:w="100" w:type="dxa"/>
              <w:bottom w:w="100" w:type="dxa"/>
              <w:left w:w="120" w:type="dxa"/>
              <w:right w:w="120" w:type="dxa"/>
            </w:tcMar>
          </w:tcPr>
          <w:p>
            <w:pPr>
              <w:jc w:val="left"/>
            </w:pPr>
            <w:r>
              <w:rPr>
                <w:rFonts w:ascii="Calibri" w:hAnsi="Calibri"/>
                <w:b/>
                <w:color w:val="FFFFFF"/>
                <w:sz w:val="17"/>
              </w:rPr>
              <w:t>Addressing Mechanism</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Mathematical Formulation</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AP (Mean ± Std)</w:t>
            </w:r>
          </w:p>
        </w:tc>
        <w:tc>
          <w:tcPr>
            <w:tcW w:type="dxa" w:w="2340"/>
            <w:shd w:val="clear" w:color="auto" w:fill="1E293B"/>
            <w:tcMar>
              <w:top w:w="100" w:type="dxa"/>
              <w:bottom w:w="100" w:type="dxa"/>
              <w:left w:w="120" w:type="dxa"/>
              <w:right w:w="120" w:type="dxa"/>
            </w:tcMar>
          </w:tcPr>
          <w:p>
            <w:pPr>
              <w:jc w:val="center"/>
            </w:pPr>
            <w:r>
              <w:rPr>
                <w:rFonts w:ascii="Calibri" w:hAnsi="Calibri"/>
                <w:b/>
                <w:color w:val="FFFFFF"/>
                <w:sz w:val="17"/>
              </w:rPr>
              <w:t>Onset AP (kA = 0)</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Learned Attention Multi-Head</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alpha_k = Softmax(q^T W_Q W_K k / sqrt(d_k))</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0.6519 ± 0.0009</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0.6337</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Cosine Similarity Routing</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alpha_k = Softmax(cos(q, k) / tau)</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0.6518 ± 0.0010</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0.6335</w:t>
            </w:r>
          </w:p>
        </w:tc>
      </w:tr>
      <w:tr>
        <w:tc>
          <w:tcPr>
            <w:tcW w:type="dxa" w:w="2340"/>
            <w:shd w:val="clear" w:color="auto" w:fill="FFFFFF"/>
            <w:tcMar>
              <w:top w:w="70" w:type="dxa"/>
              <w:bottom w:w="70" w:type="dxa"/>
              <w:left w:w="120" w:type="dxa"/>
              <w:right w:w="120" w:type="dxa"/>
            </w:tcMar>
          </w:tcPr>
          <w:p>
            <w:pPr>
              <w:jc w:val="left"/>
            </w:pPr>
            <w:r>
              <w:rPr>
                <w:rFonts w:ascii="Calibri" w:hAnsi="Calibri"/>
                <w:color w:val="334155"/>
                <w:sz w:val="17"/>
              </w:rPr>
              <w:t>Uniform Snapshot Average</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alpha_k = 1 / K</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0.6520 ± 0.0011</w:t>
            </w:r>
          </w:p>
        </w:tc>
        <w:tc>
          <w:tcPr>
            <w:tcW w:type="dxa" w:w="2340"/>
            <w:shd w:val="clear" w:color="auto" w:fill="FFFFFF"/>
            <w:tcMar>
              <w:top w:w="70" w:type="dxa"/>
              <w:bottom w:w="70" w:type="dxa"/>
              <w:left w:w="120" w:type="dxa"/>
              <w:right w:w="120" w:type="dxa"/>
            </w:tcMar>
          </w:tcPr>
          <w:p>
            <w:pPr>
              <w:jc w:val="center"/>
            </w:pPr>
            <w:r>
              <w:rPr>
                <w:rFonts w:ascii="Calibri" w:hAnsi="Calibri"/>
                <w:color w:val="334155"/>
                <w:sz w:val="17"/>
              </w:rPr>
              <w:t>0.6325</w:t>
            </w:r>
          </w:p>
        </w:tc>
      </w:tr>
      <w:tr>
        <w:tc>
          <w:tcPr>
            <w:tcW w:type="dxa" w:w="2340"/>
            <w:shd w:val="clear" w:color="auto" w:fill="F8FAFC"/>
            <w:tcMar>
              <w:top w:w="70" w:type="dxa"/>
              <w:bottom w:w="70" w:type="dxa"/>
              <w:left w:w="120" w:type="dxa"/>
              <w:right w:w="120" w:type="dxa"/>
            </w:tcMar>
          </w:tcPr>
          <w:p>
            <w:pPr>
              <w:jc w:val="left"/>
            </w:pPr>
            <w:r>
              <w:rPr>
                <w:rFonts w:ascii="Calibri" w:hAnsi="Calibri"/>
                <w:color w:val="334155"/>
                <w:sz w:val="17"/>
              </w:rPr>
              <w:t>Most Recent Checkpoint</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alpha_k = 1 for k = K, else 0</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0.6519 ± 0.0005</w:t>
            </w:r>
          </w:p>
        </w:tc>
        <w:tc>
          <w:tcPr>
            <w:tcW w:type="dxa" w:w="2340"/>
            <w:shd w:val="clear" w:color="auto" w:fill="F8FAFC"/>
            <w:tcMar>
              <w:top w:w="70" w:type="dxa"/>
              <w:bottom w:w="70" w:type="dxa"/>
              <w:left w:w="120" w:type="dxa"/>
              <w:right w:w="120" w:type="dxa"/>
            </w:tcMar>
          </w:tcPr>
          <w:p>
            <w:pPr>
              <w:jc w:val="center"/>
            </w:pPr>
            <w:r>
              <w:rPr>
                <w:rFonts w:ascii="Calibri" w:hAnsi="Calibri"/>
                <w:color w:val="334155"/>
                <w:sz w:val="17"/>
              </w:rPr>
              <w:t>0.6338</w:t>
            </w:r>
          </w:p>
        </w:tc>
      </w:tr>
    </w:tbl>
    <w:p>
      <w:pPr>
        <w:spacing w:before="40" w:after="120"/>
      </w:pPr>
      <w:r>
        <w:rPr>
          <w:i/>
          <w:color w:val="64748B"/>
          <w:sz w:val="16"/>
        </w:rPr>
        <w:t>Learned attention and cosine similarity perform comparably on discrete community regime shifts.</w:t>
      </w:r>
    </w:p>
    <w:p>
      <w:pPr>
        <w:spacing w:before="200" w:after="60"/>
      </w:pPr>
      <w:r>
        <w:rPr>
          <w:rFonts w:ascii="Calibri" w:hAnsi="Calibri"/>
          <w:b/>
          <w:color w:val="1E293B"/>
          <w:sz w:val="24"/>
        </w:rPr>
        <w:t>5.5 Real-World Continuous Streams: SNAP CollegeMsg and Bitcoin-OTC</w:t>
      </w:r>
    </w:p>
    <w:p>
      <w:pPr>
        <w:spacing w:before="0" w:after="100" w:line="276" w:lineRule="auto"/>
      </w:pPr>
      <w:r>
        <w:rPr>
          <w:rFonts w:ascii="Calibri" w:hAnsi="Calibri"/>
          <w:i w:val="0"/>
          <w:color w:val="334155"/>
          <w:sz w:val="20"/>
        </w:rPr>
        <w:t>We evaluate natural multi-week recurrence episodes in organic continuous interaction networks (Table 9).</w:t>
      </w:r>
    </w:p>
    <w:p>
      <w:pPr>
        <w:spacing w:before="160" w:after="40"/>
      </w:pPr>
      <w:r>
        <w:rPr>
          <w:rFonts w:ascii="Calibri" w:hAnsi="Calibri"/>
          <w:b/>
          <w:color w:val="0F172A"/>
          <w:sz w:val="19"/>
        </w:rPr>
        <w:t>Table 9: Real-World Natural Recurrence Episode Performance across SNAP Datasets.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293B"/>
            <w:tcMar>
              <w:top w:w="100" w:type="dxa"/>
              <w:bottom w:w="100" w:type="dxa"/>
              <w:left w:w="120" w:type="dxa"/>
              <w:right w:w="120" w:type="dxa"/>
            </w:tcMar>
          </w:tcPr>
          <w:p>
            <w:pPr>
              <w:jc w:val="left"/>
            </w:pPr>
            <w:r>
              <w:rPr>
                <w:rFonts w:ascii="Calibri" w:hAnsi="Calibri"/>
                <w:b/>
                <w:color w:val="FFFFFF"/>
                <w:sz w:val="17"/>
              </w:rPr>
              <w:t>Dataset / Episode</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Nodes</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Edges</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Continuous TGN</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EdgeBank All-Hist</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MA-TGN (Ours)</w:t>
            </w:r>
          </w:p>
        </w:tc>
        <w:tc>
          <w:tcPr>
            <w:tcW w:type="dxa" w:w="1337"/>
            <w:shd w:val="clear" w:color="auto" w:fill="1E293B"/>
            <w:tcMar>
              <w:top w:w="100" w:type="dxa"/>
              <w:bottom w:w="100" w:type="dxa"/>
              <w:left w:w="120" w:type="dxa"/>
              <w:right w:w="120" w:type="dxa"/>
            </w:tcMar>
          </w:tcPr>
          <w:p>
            <w:pPr>
              <w:jc w:val="center"/>
            </w:pPr>
            <w:r>
              <w:rPr>
                <w:rFonts w:ascii="Calibri" w:hAnsi="Calibri"/>
                <w:b/>
                <w:color w:val="FFFFFF"/>
                <w:sz w:val="17"/>
              </w:rPr>
              <w:t>Delta (MA - TGN)</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CollegeMsg - Episode 1 (W11-&gt;W12-&gt;W13)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1,899</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59,835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0.6712 ± 0.008</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0.8763 ± 0.000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0.6945 ± 0.006</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+0.0233</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CollegeMsg - Episode 2 (W8-&gt;W9-18-&gt;W19)</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1,899</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59,835</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0.6431 ± 0.009</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0.8654 ± 0.000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0.6689 ± 0.007</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+0.0258</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CollegeMsg - Episode 3 (W11-&gt;W12-13-&gt;W14)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1,899</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59,835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0.6654 ± 0.007</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0.8710 ± 0.000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0.6882 ± 0.005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+0.0228</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CollegeMsg - Episode 4 (W10-&gt;W11-12-&gt;W13)</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1,899</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59,835</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0.6598 ± 0.008</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0.8695 ± 0.000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0.6811 ± 0.006</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+0.0213</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Bitcoin-OTC - Episode 1 (Bull/Bear Cycle 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5,881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35,592</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0.6120 ± 0.006</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0.7753 ± 0.000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0.6341 ± 0.005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+0.0221</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Bitcoin-OTC - Episode 2 (Bull/Bear Cycle 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5,881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35,592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0.6085 ± 0.007</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0.7689 ± 0.000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0.6298 ± 0.006</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+0.0213</w:t>
            </w:r>
          </w:p>
        </w:tc>
      </w:tr>
      <w:tr>
        <w:tc>
          <w:tcPr>
            <w:tcW w:type="dxa" w:w="1337"/>
            <w:shd w:val="clear" w:color="auto" w:fill="FFFFFF"/>
            <w:tcMar>
              <w:top w:w="70" w:type="dxa"/>
              <w:bottom w:w="70" w:type="dxa"/>
              <w:left w:w="120" w:type="dxa"/>
              <w:right w:w="120" w:type="dxa"/>
            </w:tcMar>
          </w:tcPr>
          <w:p>
            <w:pPr>
              <w:jc w:val="left"/>
            </w:pPr>
            <w:r>
              <w:rPr>
                <w:rFonts w:ascii="Calibri" w:hAnsi="Calibri"/>
                <w:color w:val="334155"/>
                <w:sz w:val="17"/>
              </w:rPr>
              <w:t>Bitcoin-OTC - Episode 3 (Bull/Bear Cycle 3)</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5,881</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35,592</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0.6142 ± 0.005</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0.7712 ± 0.000</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0.6355 ± 0.004</w:t>
            </w:r>
          </w:p>
        </w:tc>
        <w:tc>
          <w:tcPr>
            <w:tcW w:type="dxa" w:w="1337"/>
            <w:shd w:val="clear" w:color="auto" w:fill="FFFFFF"/>
            <w:tcMar>
              <w:top w:w="70" w:type="dxa"/>
              <w:bottom w:w="70" w:type="dxa"/>
              <w:left w:w="120" w:type="dxa"/>
              <w:right w:w="120" w:type="dxa"/>
            </w:tcMar>
          </w:tcPr>
          <w:p>
            <w:pPr>
              <w:jc w:val="center"/>
            </w:pPr>
            <w:r>
              <w:rPr>
                <w:rFonts w:ascii="Calibri" w:hAnsi="Calibri"/>
                <w:color w:val="334155"/>
                <w:sz w:val="17"/>
              </w:rPr>
              <w:t>+0.0213</w:t>
            </w:r>
          </w:p>
        </w:tc>
      </w:tr>
      <w:tr>
        <w:tc>
          <w:tcPr>
            <w:tcW w:type="dxa" w:w="1337"/>
            <w:shd w:val="clear" w:color="auto" w:fill="F8FAFC"/>
            <w:tcMar>
              <w:top w:w="70" w:type="dxa"/>
              <w:bottom w:w="70" w:type="dxa"/>
              <w:left w:w="120" w:type="dxa"/>
              <w:right w:w="120" w:type="dxa"/>
            </w:tcMar>
          </w:tcPr>
          <w:p>
            <w:pPr>
              <w:jc w:val="left"/>
            </w:pPr>
            <w:r>
              <w:rPr>
                <w:rFonts w:ascii="Calibri" w:hAnsi="Calibri"/>
                <w:color w:val="334155"/>
                <w:sz w:val="17"/>
              </w:rPr>
              <w:t>Bitcoin-OTC - Episode 4 (Bull/Bear Cycle 4)</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5,881</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35,592</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0.6099 ± 0.006</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0.7698 ± 0.000</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0.6310 ± 0.005</w:t>
            </w:r>
          </w:p>
        </w:tc>
        <w:tc>
          <w:tcPr>
            <w:tcW w:type="dxa" w:w="1337"/>
            <w:shd w:val="clear" w:color="auto" w:fill="F8FAFC"/>
            <w:tcMar>
              <w:top w:w="70" w:type="dxa"/>
              <w:bottom w:w="70" w:type="dxa"/>
              <w:left w:w="120" w:type="dxa"/>
              <w:right w:w="120" w:type="dxa"/>
            </w:tcMar>
          </w:tcPr>
          <w:p>
            <w:pPr>
              <w:jc w:val="center"/>
            </w:pPr>
            <w:r>
              <w:rPr>
                <w:rFonts w:ascii="Calibri" w:hAnsi="Calibri"/>
                <w:color w:val="334155"/>
                <w:sz w:val="17"/>
              </w:rPr>
              <w:t>+0.0211</w:t>
            </w:r>
          </w:p>
        </w:tc>
      </w:tr>
    </w:tbl>
    <w:p>
      <w:pPr>
        <w:spacing w:before="40" w:after="120"/>
      </w:pPr>
      <w:r>
        <w:rPr>
          <w:i/>
          <w:color w:val="64748B"/>
          <w:sz w:val="16"/>
        </w:rPr>
        <w:t>Evaluated across n=4 natural multi-interval recurrence episodes per dataset.</w:t>
      </w:r>
    </w:p>
    <w:p>
      <w:pPr>
        <w:spacing w:before="0" w:after="100" w:line="276" w:lineRule="auto"/>
      </w:pPr>
      <w:r>
        <w:rPr>
          <w:rFonts w:ascii="Calibri" w:hAnsi="Calibri"/>
          <w:i w:val="0"/>
          <w:color w:val="334155"/>
          <w:sz w:val="20"/>
        </w:rPr>
        <w:t>Boundary Condition Confirmation: Real-world communication and trust networks exhibit high exact pairwise edge repetition (users message identical contacts), making EdgeBank (0.8763 and 0.7753) the optimal baseline. Within continuous inductive neural representations, episodic addressing achieves consistent +0.021 to +0.026 AP improvements over standard TGN.</w:t>
      </w:r>
    </w:p>
    <w:p>
      <w:pPr>
        <w:spacing w:before="200" w:after="60"/>
      </w:pPr>
      <w:r>
        <w:rPr>
          <w:rFonts w:ascii="Calibri" w:hAnsi="Calibri"/>
          <w:b/>
          <w:color w:val="1E293B"/>
          <w:sz w:val="24"/>
        </w:rPr>
        <w:t>5.6 Computational Complexity, Analytical Memory, and Latency</w:t>
      </w:r>
    </w:p>
    <w:p>
      <w:pPr>
        <w:spacing w:before="0" w:after="100" w:line="276" w:lineRule="auto"/>
      </w:pPr>
      <w:r>
        <w:rPr>
          <w:rFonts w:ascii="Calibri" w:hAnsi="Calibri"/>
          <w:i w:val="0"/>
          <w:color w:val="334155"/>
          <w:sz w:val="20"/>
        </w:rPr>
        <w:t>Table 10 profiles the computational overhead and memory footprint across bank capacities K in {1, 2, 4, 8, 10, 16, 32}.</w:t>
      </w:r>
    </w:p>
    <w:p>
      <w:pPr>
        <w:spacing w:before="160" w:after="40"/>
      </w:pPr>
      <w:r>
        <w:rPr>
          <w:rFonts w:ascii="Calibri" w:hAnsi="Calibri"/>
          <w:b/>
          <w:color w:val="0F172A"/>
          <w:sz w:val="19"/>
        </w:rPr>
        <w:t>Table 10: Computational Complexity, Analytical Memory Footprint, and Inference Latency Profile.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E293B"/>
            <w:tcMar>
              <w:top w:w="100" w:type="dxa"/>
              <w:bottom w:w="100" w:type="dxa"/>
              <w:left w:w="120" w:type="dxa"/>
              <w:right w:w="120" w:type="dxa"/>
            </w:tcMar>
          </w:tcPr>
          <w:p>
            <w:pPr>
              <w:jc w:val="left"/>
            </w:pPr>
            <w:r>
              <w:rPr>
                <w:rFonts w:ascii="Calibri" w:hAnsi="Calibri"/>
                <w:b/>
                <w:color w:val="FFFFFF"/>
                <w:sz w:val="17"/>
              </w:rPr>
              <w:t>Bank Capacity (K)</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Analytical RAM (KB)</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Empirical RAM (MB)</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Per-Candidate Latency</w:t>
            </w:r>
          </w:p>
        </w:tc>
        <w:tc>
          <w:tcPr>
            <w:tcW w:type="dxa" w:w="1872"/>
            <w:shd w:val="clear" w:color="auto" w:fill="1E293B"/>
            <w:tcMar>
              <w:top w:w="100" w:type="dxa"/>
              <w:bottom w:w="100" w:type="dxa"/>
              <w:left w:w="120" w:type="dxa"/>
              <w:right w:w="120" w:type="dxa"/>
            </w:tcMar>
          </w:tcPr>
          <w:p>
            <w:pPr>
              <w:jc w:val="center"/>
            </w:pPr>
            <w:r>
              <w:rPr>
                <w:rFonts w:ascii="Calibri" w:hAnsi="Calibri"/>
                <w:b/>
                <w:color w:val="FFFFFF"/>
                <w:sz w:val="17"/>
              </w:rPr>
              <w:t>Throughput (pairs/sec)</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K = 1</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150.3 KB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0.21 MB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0.91 microseconds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1,098,900</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K = 2</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225.5 KB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0.30 MB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1.12 microseconds</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892,850</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K = 4</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375.8 KB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0.48 MB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1.45 microseconds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689,650</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K = 8</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676.4 KB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0.82 MB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1.98 microseconds</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505,050</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K = 10 (Canonical)</w:t>
            </w:r>
          </w:p>
        </w:tc>
        <w:tc>
          <w:tcPr>
            <w:tcW w:type="dxa" w:w="1872"/>
            <w:shd w:val="clear" w:color="auto" w:fill="FFFFFF"/>
            <w:tcMar>
              <w:top w:w="70" w:type="dxa"/>
              <w:bottom w:w="70" w:type="dxa"/>
              <w:left w:w="120" w:type="dxa"/>
              <w:right w:w="120" w:type="dxa"/>
            </w:tcMar>
          </w:tcPr>
          <w:p>
            <w:pPr>
              <w:jc w:val="center"/>
            </w:pPr>
            <w:r>
              <w:rPr>
                <w:rFonts w:ascii="Calibri" w:hAnsi="Calibri"/>
                <w:b/>
                <w:color w:val="334155"/>
                <w:sz w:val="17"/>
              </w:rPr>
              <w:t>827.5 KB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0.98 MB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2.24 microseconds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446,420</w:t>
            </w:r>
          </w:p>
        </w:tc>
      </w:tr>
      <w:tr>
        <w:tc>
          <w:tcPr>
            <w:tcW w:type="dxa" w:w="1872"/>
            <w:shd w:val="clear" w:color="auto" w:fill="F8FAFC"/>
            <w:tcMar>
              <w:top w:w="70" w:type="dxa"/>
              <w:bottom w:w="70" w:type="dxa"/>
              <w:left w:w="120" w:type="dxa"/>
              <w:right w:w="120" w:type="dxa"/>
            </w:tcMar>
          </w:tcPr>
          <w:p>
            <w:pPr>
              <w:jc w:val="left"/>
            </w:pPr>
            <w:r>
              <w:rPr>
                <w:rFonts w:ascii="Calibri" w:hAnsi="Calibri"/>
                <w:color w:val="334155"/>
                <w:sz w:val="17"/>
              </w:rPr>
              <w:t>K = 16</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1,278.4 KB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1.48 MB</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2.89 microseconds</w:t>
            </w:r>
          </w:p>
        </w:tc>
        <w:tc>
          <w:tcPr>
            <w:tcW w:type="dxa" w:w="1872"/>
            <w:shd w:val="clear" w:color="auto" w:fill="F8FAFC"/>
            <w:tcMar>
              <w:top w:w="70" w:type="dxa"/>
              <w:bottom w:w="70" w:type="dxa"/>
              <w:left w:w="120" w:type="dxa"/>
              <w:right w:w="120" w:type="dxa"/>
            </w:tcMar>
          </w:tcPr>
          <w:p>
            <w:pPr>
              <w:jc w:val="center"/>
            </w:pPr>
            <w:r>
              <w:rPr>
                <w:rFonts w:ascii="Calibri" w:hAnsi="Calibri"/>
                <w:color w:val="334155"/>
                <w:sz w:val="17"/>
              </w:rPr>
              <w:t>346,020</w:t>
            </w:r>
          </w:p>
        </w:tc>
      </w:tr>
      <w:tr>
        <w:tc>
          <w:tcPr>
            <w:tcW w:type="dxa" w:w="1872"/>
            <w:shd w:val="clear" w:color="auto" w:fill="FFFFFF"/>
            <w:tcMar>
              <w:top w:w="70" w:type="dxa"/>
              <w:bottom w:w="70" w:type="dxa"/>
              <w:left w:w="120" w:type="dxa"/>
              <w:right w:w="120" w:type="dxa"/>
            </w:tcMar>
          </w:tcPr>
          <w:p>
            <w:pPr>
              <w:jc w:val="left"/>
            </w:pPr>
            <w:r>
              <w:rPr>
                <w:rFonts w:ascii="Calibri" w:hAnsi="Calibri"/>
                <w:color w:val="334155"/>
                <w:sz w:val="17"/>
              </w:rPr>
              <w:t>K = 32</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2,481.0 KB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2.81 MB</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4.79 microseconds</w:t>
            </w:r>
          </w:p>
        </w:tc>
        <w:tc>
          <w:tcPr>
            <w:tcW w:type="dxa" w:w="1872"/>
            <w:shd w:val="clear" w:color="auto" w:fill="FFFFFF"/>
            <w:tcMar>
              <w:top w:w="70" w:type="dxa"/>
              <w:bottom w:w="70" w:type="dxa"/>
              <w:left w:w="120" w:type="dxa"/>
              <w:right w:w="120" w:type="dxa"/>
            </w:tcMar>
          </w:tcPr>
          <w:p>
            <w:pPr>
              <w:jc w:val="center"/>
            </w:pPr>
            <w:r>
              <w:rPr>
                <w:rFonts w:ascii="Calibri" w:hAnsi="Calibri"/>
                <w:color w:val="334155"/>
                <w:sz w:val="17"/>
              </w:rPr>
              <w:t>208,760</w:t>
            </w:r>
          </w:p>
        </w:tc>
      </w:tr>
    </w:tbl>
    <w:p>
      <w:pPr>
        <w:spacing w:before="40" w:after="120"/>
      </w:pPr>
      <w:r>
        <w:rPr>
          <w:i/>
          <w:color w:val="64748B"/>
          <w:sz w:val="16"/>
        </w:rPr>
        <w:t>Analytical RAM: 4*(N*dm + K*dk + K*N*dm)/1024 KB. Canonical configuration requires only 827.5 KB RAM.</w:t>
      </w:r>
    </w:p>
    <w:p>
      <w:pPr>
        <w:spacing w:before="280" w:after="80"/>
      </w:pPr>
      <w:r>
        <w:rPr>
          <w:rFonts w:ascii="Calibri" w:hAnsi="Calibri"/>
          <w:b/>
          <w:color w:val="0F172A"/>
          <w:sz w:val="28"/>
        </w:rPr>
        <w:t>6. Discussion and Scientific Synthesis</w:t>
      </w:r>
    </w:p>
    <w:p>
      <w:pPr>
        <w:spacing w:before="0" w:after="100" w:line="276" w:lineRule="auto"/>
      </w:pPr>
      <w:r>
        <w:rPr>
          <w:rFonts w:ascii="Calibri" w:hAnsi="Calibri"/>
          <w:b/>
          <w:color w:val="1E293B"/>
          <w:sz w:val="20"/>
        </w:rPr>
        <w:t xml:space="preserve">Synthesis of Findings: </w:t>
      </w:r>
      <w:r>
        <w:rPr>
          <w:rFonts w:ascii="Calibri" w:hAnsi="Calibri"/>
          <w:i w:val="0"/>
          <w:color w:val="334155"/>
          <w:sz w:val="20"/>
        </w:rPr>
        <w:t>Our empirical investigation establishes four fundamental structural insights for dynamic graph learning:</w:t>
      </w:r>
    </w:p>
    <w:p>
      <w:pPr>
        <w:spacing w:before="0" w:after="100" w:line="276" w:lineRule="auto"/>
      </w:pPr>
      <w:r>
        <w:rPr>
          <w:rFonts w:ascii="Calibri" w:hAnsi="Calibri"/>
          <w:b/>
          <w:color w:val="1E293B"/>
          <w:sz w:val="20"/>
        </w:rPr>
        <w:t xml:space="preserve">1. Neural vs. Heuristic Capacity: </w:t>
      </w:r>
      <w:r>
        <w:rPr>
          <w:rFonts w:ascii="Calibri" w:hAnsi="Calibri"/>
          <w:i w:val="0"/>
          <w:color w:val="334155"/>
          <w:sz w:val="20"/>
        </w:rPr>
        <w:t>Continuous recurrent node compression is subject to temporal memory interference. In unfeatured graphs, 1-layer temporal message passing is bounded by an unfeatured structural ceiling (0.652 AP), while naive historical retrieval exhibits monotonic duration-dependent degradation.</w:t>
      </w:r>
    </w:p>
    <w:p>
      <w:pPr>
        <w:spacing w:before="0" w:after="100" w:line="276" w:lineRule="auto"/>
      </w:pPr>
      <w:r>
        <w:rPr>
          <w:rFonts w:ascii="Calibri" w:hAnsi="Calibri"/>
          <w:b/>
          <w:color w:val="1E293B"/>
          <w:sz w:val="20"/>
        </w:rPr>
        <w:t xml:space="preserve">2. The Exact vs. Structural Duality: </w:t>
      </w:r>
      <w:r>
        <w:rPr>
          <w:rFonts w:ascii="Calibri" w:hAnsi="Calibri"/>
          <w:i w:val="0"/>
          <w:color w:val="334155"/>
          <w:sz w:val="20"/>
        </w:rPr>
        <w:t>Exact edge lookup tables (EdgeBank) are optimal when exact pairwise edges recur, but collapse when recurrence is latent and structural. Decoupled episodic addressing provides the mechanism to isolate structural community invariants.</w:t>
      </w:r>
    </w:p>
    <w:p>
      <w:pPr>
        <w:spacing w:before="0" w:after="100" w:line="276" w:lineRule="auto"/>
      </w:pPr>
      <w:r>
        <w:rPr>
          <w:rFonts w:ascii="Calibri" w:hAnsi="Calibri"/>
          <w:b/>
          <w:color w:val="1E293B"/>
          <w:sz w:val="20"/>
        </w:rPr>
        <w:t xml:space="preserve">3. Inefficacy of Recurrent Scaling: </w:t>
      </w:r>
      <w:r>
        <w:rPr>
          <w:rFonts w:ascii="Calibri" w:hAnsi="Calibri"/>
          <w:i w:val="0"/>
          <w:color w:val="334155"/>
          <w:sz w:val="20"/>
        </w:rPr>
        <w:t>Increasing recurrent hidden dimensions (dm) fails to prevent interference (+550% parameters yields &lt;0.008 AP gain), proving that recurrent state overwriting is an architectural limitation rather than a parameter capacity bottleneck.</w:t>
      </w:r>
    </w:p>
    <w:p>
      <w:pPr>
        <w:spacing w:before="0" w:after="100" w:line="276" w:lineRule="auto"/>
      </w:pPr>
      <w:r>
        <w:rPr>
          <w:rFonts w:ascii="Calibri" w:hAnsi="Calibri"/>
          <w:b/>
          <w:color w:val="1E293B"/>
          <w:sz w:val="20"/>
        </w:rPr>
        <w:t xml:space="preserve">4. Modest Computational Footprint: </w:t>
      </w:r>
      <w:r>
        <w:rPr>
          <w:rFonts w:ascii="Calibri" w:hAnsi="Calibri"/>
          <w:i w:val="0"/>
          <w:color w:val="334155"/>
          <w:sz w:val="20"/>
        </w:rPr>
        <w:t>Addressable episodic memory provides a lightweight (827.5 KB RAM, sub-3 microsecond latency) non-destructive cache that restores historical inductive representations upon regime shifts.</w:t>
      </w:r>
    </w:p>
    <w:p>
      <w:pPr>
        <w:spacing w:before="280" w:after="80"/>
      </w:pPr>
      <w:r>
        <w:rPr>
          <w:rFonts w:ascii="Calibri" w:hAnsi="Calibri"/>
          <w:b/>
          <w:color w:val="0F172A"/>
          <w:sz w:val="28"/>
        </w:rPr>
        <w:t>7. Limitations and Scope</w:t>
      </w:r>
    </w:p>
    <w:p>
      <w:pPr>
        <w:spacing w:before="0" w:after="100" w:line="276" w:lineRule="auto"/>
      </w:pPr>
      <w:r>
        <w:rPr>
          <w:rFonts w:ascii="Calibri" w:hAnsi="Calibri"/>
          <w:i w:val="0"/>
          <w:color w:val="334155"/>
          <w:sz w:val="20"/>
        </w:rPr>
        <w:t>We transparently outline three empirical boundaries of this study: (1) Synthetic benchmarks assume discrete Dynamic SBM block structures with Markov persistence; continuous organic graphs may exhibit chaotic or non-stationary mixtures. (2) Real-world evaluations operate on n=4 natural multi-interval recurrence episodes per dataset, scoping claims to observable natural recurrence. (3) MA-TGN is evaluated as a diagnostic probing mechanism rather than a universal replacement for exact-edge caching.</w:t>
      </w:r>
    </w:p>
    <w:p>
      <w:pPr>
        <w:spacing w:before="280" w:after="80"/>
      </w:pPr>
      <w:r>
        <w:rPr>
          <w:rFonts w:ascii="Calibri" w:hAnsi="Calibri"/>
          <w:b/>
          <w:color w:val="0F172A"/>
          <w:sz w:val="28"/>
        </w:rPr>
        <w:t>8. Conclusion</w:t>
      </w:r>
    </w:p>
    <w:p>
      <w:pPr>
        <w:spacing w:before="0" w:after="100" w:line="276" w:lineRule="auto"/>
      </w:pPr>
      <w:r>
        <w:rPr>
          <w:rFonts w:ascii="Calibri" w:hAnsi="Calibri"/>
          <w:i w:val="0"/>
          <w:color w:val="334155"/>
          <w:sz w:val="20"/>
        </w:rPr>
        <w:t>This paper formalizes and characterizes Temporal Memory Interference in continuous Dynamic Graph Neural Networks. Through a controlled DSBM benchmark, an 8-point temporal non-anticipation audit, and exact vs. structural recurrence decomposition, we demonstrated the limitations of unfeatured continuous recurrent compression and showed how addressable episodic state caching preserves historical structural patterns. We hope this work encourages new research into memory-augmented dynamic graph architectures capable of lifelong, multi-regime temporal reasoning.</w:t>
      </w:r>
    </w:p>
    <w:p>
      <w:pPr>
        <w:spacing w:before="280" w:after="80"/>
      </w:pPr>
      <w:r>
        <w:rPr>
          <w:rFonts w:ascii="Calibri" w:hAnsi="Calibri"/>
          <w:b/>
          <w:color w:val="0F172A"/>
          <w:sz w:val="28"/>
        </w:rPr>
        <w:t>Supplementary Material &amp; Appendices</w:t>
      </w:r>
    </w:p>
    <w:p>
      <w:pPr>
        <w:spacing w:before="200" w:after="60"/>
      </w:pPr>
      <w:r>
        <w:rPr>
          <w:rFonts w:ascii="Calibri" w:hAnsi="Calibri"/>
          <w:b/>
          <w:color w:val="1E293B"/>
          <w:sz w:val="24"/>
        </w:rPr>
        <w:t>Appendix A: Extended Hyperparameter Protocol</w:t>
      </w:r>
    </w:p>
    <w:p>
      <w:pPr>
        <w:spacing w:before="0" w:after="100" w:line="276" w:lineRule="auto"/>
      </w:pPr>
      <w:r>
        <w:rPr>
          <w:rFonts w:ascii="Calibri" w:hAnsi="Calibri"/>
          <w:i w:val="0"/>
          <w:color w:val="334155"/>
          <w:sz w:val="20"/>
        </w:rPr>
        <w:t>All models were trained using Adam (beta1=0.9, beta2=0.999, lr=0.005, weight_decay=1e-4) for 10 epochs. Checkpoint interval was set to 10 snapshots with bank capacity K=10. Hidden dimensions dm=64, dk=64, dt=64.</w:t>
      </w:r>
    </w:p>
    <w:p>
      <w:pPr>
        <w:spacing w:before="200" w:after="60"/>
      </w:pPr>
      <w:r>
        <w:rPr>
          <w:rFonts w:ascii="Calibri" w:hAnsi="Calibri"/>
          <w:b/>
          <w:color w:val="1E293B"/>
          <w:sz w:val="24"/>
        </w:rPr>
        <w:t>Appendix B: Eight-Point Non-Anticipation Audit Protocol</w:t>
      </w:r>
    </w:p>
    <w:p>
      <w:pPr>
        <w:spacing w:before="0" w:after="100" w:line="276" w:lineRule="auto"/>
      </w:pPr>
      <w:r>
        <w:rPr>
          <w:rFonts w:ascii="Calibri" w:hAnsi="Calibri"/>
          <w:i w:val="0"/>
          <w:color w:val="334155"/>
          <w:sz w:val="20"/>
        </w:rPr>
        <w:t>The 8-point audit was executed on every model run: candidate edge parity, label parity, strict temporal causality (tau &lt;= t), post-evaluation memory update, unfeatured graph symmetry, future checkpoint masking, regime boundary blindness, and deterministic PRNG negative sampling (seed + t).</w:t>
      </w:r>
    </w:p>
    <w:p>
      <w:pPr>
        <w:spacing w:before="200" w:after="60"/>
      </w:pPr>
      <w:r>
        <w:rPr>
          <w:rFonts w:ascii="Calibri" w:hAnsi="Calibri"/>
          <w:b/>
          <w:color w:val="1E293B"/>
          <w:sz w:val="24"/>
        </w:rPr>
        <w:t>Appendix C: Analytical Memory Derivations</w:t>
      </w:r>
    </w:p>
    <w:p>
      <w:pPr>
        <w:spacing w:before="0" w:after="100" w:line="276" w:lineRule="auto"/>
      </w:pPr>
      <w:r>
        <w:rPr>
          <w:rFonts w:ascii="Calibri" w:hAnsi="Calibri"/>
          <w:i w:val="0"/>
          <w:color w:val="334155"/>
          <w:sz w:val="20"/>
        </w:rPr>
        <w:t>Analytical RAM formula: M_RAM = 4 * (N*dm + K*dk + K*N*dm) / 1024 KB. For N=300, dm=64, dk=64, K=10, M_RAM = 4 * (19,200 + 640 + 192,000) / 1024 = 827.5 KB. For N=10,000, K=20, M_RAM = 52.5 MB.</w:t>
      </w:r>
    </w:p>
    <w:p>
      <w:pPr>
        <w:spacing w:before="200" w:after="60"/>
      </w:pPr>
      <w:r>
        <w:rPr>
          <w:rFonts w:ascii="Calibri" w:hAnsi="Calibri"/>
          <w:b/>
          <w:color w:val="1E293B"/>
          <w:sz w:val="24"/>
        </w:rPr>
        <w:t>Appendix D: Real-World Episode Selection Protocol</w:t>
      </w:r>
    </w:p>
    <w:p>
      <w:pPr>
        <w:spacing w:before="0" w:after="100" w:line="276" w:lineRule="auto"/>
      </w:pPr>
      <w:r>
        <w:rPr>
          <w:rFonts w:ascii="Calibri" w:hAnsi="Calibri"/>
          <w:i w:val="0"/>
          <w:color w:val="334155"/>
          <w:sz w:val="20"/>
        </w:rPr>
        <w:t>Natural multi-week episodes in SNAP CollegeMsg (1,899 nodes, 59,835 edges) and Bitcoin-OTC (5,881 nodes, 35,592 ratings) were selected based on three criteria: (i) initial active period A1, (ii) intervening distractor period B (1-10 weeks), and (iii) recurring active period A2 with &gt;60% community overlap with A1. Negatives were generated using PRNG seed offsets (seed + t).</w:t>
      </w:r>
    </w:p>
    <w:p>
      <w:pPr>
        <w:spacing w:before="200" w:after="60"/>
      </w:pPr>
      <w:r>
        <w:rPr>
          <w:rFonts w:ascii="Calibri" w:hAnsi="Calibri"/>
          <w:b/>
          <w:color w:val="1E293B"/>
          <w:sz w:val="24"/>
        </w:rPr>
        <w:t>Appendix E: Early Benchmark Prototypes and Failure Modes</w:t>
      </w:r>
    </w:p>
    <w:p>
      <w:pPr>
        <w:spacing w:before="0" w:after="100" w:line="276" w:lineRule="auto"/>
      </w:pPr>
      <w:r>
        <w:rPr>
          <w:rFonts w:ascii="Calibri" w:hAnsi="Calibri"/>
          <w:i w:val="0"/>
          <w:color w:val="334155"/>
          <w:sz w:val="20"/>
        </w:rPr>
        <w:t>Initial unconstrained Erdös-Rényi prototypes where density shifted (rho_A = 0.20 -&gt; rho_B = 0.05) allowed models to exploit scalar density shifts as regime indicators. The canonical benchmark strictly enforces identical density (rho = 0.10) across all regimes.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