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SCADE Model Parser</w:t>
      </w:r>
    </w:p>
    <w:p>
      <w:pPr>
        <w:jc w:val="center"/>
      </w:pPr>
      <w:r>
        <w:rPr>
          <w:color w:val="2E75B6"/>
          <w:sz w:val="36"/>
        </w:rPr>
        <w:t>Architecture Document</w:t>
      </w:r>
    </w:p>
    <w:p/>
    <w:p>
      <w:pPr>
        <w:jc w:val="center"/>
      </w:pPr>
      <w:r>
        <w:rPr>
          <w:color w:val="404040"/>
          <w:sz w:val="22"/>
        </w:rPr>
        <w:t>Version 1.0  |  May 2026</w:t>
      </w:r>
    </w:p>
    <w:p/>
    <w:p>
      <w:pPr>
        <w:pBdr>
          <w:bottom w:val="single" w:sz="6" w:space="1" w:color="2E75B6"/>
        </w:pBdr>
      </w:pPr>
    </w:p>
    <w:p/>
    <w:p>
      <w:pPr>
        <w:jc w:val="center"/>
      </w:pPr>
      <w:r>
        <w:rPr>
          <w:b/>
          <w:sz w:val="22"/>
        </w:rPr>
        <w:t xml:space="preserve">Document Owner:  </w:t>
      </w:r>
      <w:r>
        <w:rPr>
          <w:color w:val="404040"/>
          <w:sz w:val="22"/>
        </w:rPr>
        <w:t>Engineering Team</w:t>
      </w:r>
    </w:p>
    <w:p>
      <w:pPr>
        <w:jc w:val="center"/>
      </w:pPr>
      <w:r>
        <w:rPr>
          <w:b/>
          <w:sz w:val="22"/>
        </w:rPr>
        <w:t xml:space="preserve">Classification:  </w:t>
      </w:r>
      <w:r>
        <w:rPr>
          <w:color w:val="404040"/>
          <w:sz w:val="22"/>
        </w:rPr>
        <w:t>Internal</w:t>
      </w:r>
    </w:p>
    <w:p>
      <w:pPr>
        <w:jc w:val="center"/>
      </w:pPr>
      <w:r>
        <w:rPr>
          <w:b/>
          <w:sz w:val="22"/>
        </w:rPr>
        <w:t xml:space="preserve">Status:  </w:t>
      </w:r>
      <w:r>
        <w:rPr>
          <w:color w:val="404040"/>
          <w:sz w:val="22"/>
        </w:rPr>
        <w:t>Released</w:t>
      </w:r>
    </w:p>
    <w:p>
      <w:r>
        <w:br w:type="page"/>
      </w:r>
    </w:p>
    <w:p>
      <w:pPr>
        <w:pStyle w:val="Heading1"/>
      </w:pPr>
      <w:r>
        <w:rPr>
          <w:color w:val="1F4E79"/>
        </w:rPr>
        <w:t>1  System Overview</w:t>
      </w:r>
    </w:p>
    <w:p>
      <w:pPr>
        <w:spacing w:after="120" w:before="0"/>
      </w:pPr>
      <w:r>
        <w:rPr>
          <w:b w:val="0"/>
          <w:sz w:val="22"/>
        </w:rPr>
        <w:t>The SCADE Model Parser is a single-module Python command-line tool. Its purpose is to bridge the gap between SCADE Suite model artefacts (.scade XML files) and general-purpose engineering tooling (Excel). It has no runtime dependencies beyond two well-maintained Python packages (openpyxl and defusedxml) and runs on any platform where Python 3.10+ is installed.</w:t>
      </w:r>
    </w:p>
    <w:p>
      <w:pPr>
        <w:spacing w:after="120" w:before="0"/>
      </w:pPr>
      <w:r>
        <w:rPr>
          <w:b w:val="0"/>
          <w:sz w:val="22"/>
        </w:rPr>
        <w:t>The tool is composed of four logical layers arranged in a pipeline:</w:t>
      </w:r>
    </w:p>
    <w:p>
      <w:pPr>
        <w:spacing w:after="80"/>
      </w:pPr>
      <w:r>
        <w:rPr>
          <w:b/>
          <w:color w:val="1F4E79"/>
          <w:sz w:val="22"/>
        </w:rPr>
        <w:t xml:space="preserve">CLI Layer  </w:t>
      </w:r>
      <w:r>
        <w:rPr>
          <w:sz w:val="22"/>
        </w:rPr>
        <w:t>Parses command-line arguments, validates paths, and orchestrates the pipeline.</w:t>
      </w:r>
    </w:p>
    <w:p>
      <w:pPr>
        <w:spacing w:after="80"/>
      </w:pPr>
      <w:r>
        <w:rPr>
          <w:b/>
          <w:color w:val="1F4E79"/>
          <w:sz w:val="22"/>
        </w:rPr>
        <w:t xml:space="preserve">Aggregation Layer  </w:t>
      </w:r>
      <w:r>
        <w:rPr>
          <w:sz w:val="22"/>
        </w:rPr>
        <w:t>Discovers .scade files, invokes the parser for each, and merges results.</w:t>
      </w:r>
    </w:p>
    <w:p>
      <w:pPr>
        <w:spacing w:after="80"/>
      </w:pPr>
      <w:r>
        <w:rPr>
          <w:b/>
          <w:color w:val="1F4E79"/>
          <w:sz w:val="22"/>
        </w:rPr>
        <w:t xml:space="preserve">Parser Layer  </w:t>
      </w:r>
      <w:r>
        <w:rPr>
          <w:sz w:val="22"/>
        </w:rPr>
        <w:t>Performs XXE-safe XML parsing and depth-first element tree traversal to extract records.</w:t>
      </w:r>
    </w:p>
    <w:p>
      <w:pPr>
        <w:spacing w:after="80"/>
      </w:pPr>
      <w:r>
        <w:rPr>
          <w:b/>
          <w:color w:val="1F4E79"/>
          <w:sz w:val="22"/>
        </w:rPr>
        <w:t xml:space="preserve">Output Layer  </w:t>
      </w:r>
      <w:r>
        <w:rPr>
          <w:sz w:val="22"/>
        </w:rPr>
        <w:t>Formats and writes extracted records to a multi-sheet .xlsx workbook.</w:t>
      </w:r>
    </w:p>
    <w:p>
      <w:r>
        <w:br w:type="page"/>
      </w:r>
    </w:p>
    <w:p>
      <w:pPr>
        <w:pStyle w:val="Heading1"/>
      </w:pPr>
      <w:r>
        <w:rPr>
          <w:color w:val="1F4E79"/>
        </w:rPr>
        <w:t>2  Component Architecture</w:t>
      </w:r>
    </w:p>
    <w:p>
      <w:pPr>
        <w:spacing w:after="120" w:before="0"/>
      </w:pPr>
      <w:r>
        <w:rPr>
          <w:b w:val="0"/>
          <w:sz w:val="22"/>
        </w:rPr>
        <w:t>The diagram below represents the component breakdown as a layered stack. Each layer communicates only with the layer immediately below it, ensuring clean separation of concerns.</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                         CLI Layer                                 │</w:t>
      </w:r>
    </w:p>
    <w:p>
      <w:pPr>
        <w:shd w:val="clear" w:fill="F2F2F2"/>
        <w:spacing w:after="0" w:before="0"/>
        <w:ind w:left="283"/>
      </w:pPr>
      <w:r>
        <w:rPr>
          <w:rFonts w:ascii="Courier New" w:hAnsi="Courier New"/>
          <w:color w:val="404040"/>
          <w:sz w:val="18"/>
        </w:rPr>
        <w:t>│  main()  ·  _build_arg_parser()  ·  _sanitise_filename()         │</w:t>
      </w:r>
    </w:p>
    <w:p>
      <w:pPr>
        <w:shd w:val="clear" w:fill="F2F2F2"/>
        <w:spacing w:after="0" w:before="0"/>
        <w:ind w:left="283"/>
      </w:pPr>
      <w:r>
        <w:rPr>
          <w:rFonts w:ascii="Courier New" w:hAnsi="Courier New"/>
          <w:color w:val="404040"/>
          <w:sz w:val="18"/>
        </w:rPr>
        <w:t>│  _validate_output_path()                                          │</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 xml:space="preserve">                            │ input path, output path</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                      Aggregation Layer                            │</w:t>
      </w:r>
    </w:p>
    <w:p>
      <w:pPr>
        <w:shd w:val="clear" w:fill="F2F2F2"/>
        <w:spacing w:after="0" w:before="0"/>
        <w:ind w:left="283"/>
      </w:pPr>
      <w:r>
        <w:rPr>
          <w:rFonts w:ascii="Courier New" w:hAnsi="Courier New"/>
          <w:color w:val="404040"/>
          <w:sz w:val="18"/>
        </w:rPr>
        <w:t>│  parse_path()  ·  rglob() file discovery                         │</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 xml:space="preserve">       │ file 1             │ file 2              │ file N</w:t>
      </w:r>
    </w:p>
    <w:p>
      <w:pPr>
        <w:shd w:val="clear" w:fill="F2F2F2"/>
        <w:spacing w:after="0" w:before="0"/>
        <w:ind w:left="283"/>
      </w:pPr>
      <w:r>
        <w:rPr>
          <w:rFonts w:ascii="Courier New" w:hAnsi="Courier New"/>
          <w:color w:val="404040"/>
          <w:sz w:val="18"/>
        </w:rPr>
        <w:t>┌──────▼──────┐   ┌─────────▼──────┐   ┌─────────▼──────┐</w:t>
      </w:r>
    </w:p>
    <w:p>
      <w:pPr>
        <w:shd w:val="clear" w:fill="F2F2F2"/>
        <w:spacing w:after="0" w:before="0"/>
        <w:ind w:left="283"/>
      </w:pPr>
      <w:r>
        <w:rPr>
          <w:rFonts w:ascii="Courier New" w:hAnsi="Courier New"/>
          <w:color w:val="404040"/>
          <w:sz w:val="18"/>
        </w:rPr>
        <w:t>│  Parser     │   │  Parser        │   │  Parser        │</w:t>
      </w:r>
    </w:p>
    <w:p>
      <w:pPr>
        <w:shd w:val="clear" w:fill="F2F2F2"/>
        <w:spacing w:after="0" w:before="0"/>
        <w:ind w:left="283"/>
      </w:pPr>
      <w:r>
        <w:rPr>
          <w:rFonts w:ascii="Courier New" w:hAnsi="Courier New"/>
          <w:color w:val="404040"/>
          <w:sz w:val="18"/>
        </w:rPr>
        <w:t>│  Layer      │   │  Layer         │   │  Layer         │</w:t>
      </w:r>
    </w:p>
    <w:p>
      <w:pPr>
        <w:shd w:val="clear" w:fill="F2F2F2"/>
        <w:spacing w:after="0" w:before="0"/>
        <w:ind w:left="283"/>
      </w:pPr>
      <w:r>
        <w:rPr>
          <w:rFonts w:ascii="Courier New" w:hAnsi="Courier New"/>
          <w:color w:val="404040"/>
          <w:sz w:val="18"/>
        </w:rPr>
        <w:t>│  (per file) │   │  (per file)    │   │  (per file)    │</w:t>
      </w:r>
    </w:p>
    <w:p>
      <w:pPr>
        <w:shd w:val="clear" w:fill="F2F2F2"/>
        <w:spacing w:after="0" w:before="0"/>
        <w:ind w:left="283"/>
      </w:pPr>
      <w:r>
        <w:rPr>
          <w:rFonts w:ascii="Courier New" w:hAnsi="Courier New"/>
          <w:color w:val="404040"/>
          <w:sz w:val="18"/>
        </w:rPr>
        <w:t>└──────┬──────┘   └─────────┬──────┘   └─────────┬──────┘</w:t>
      </w:r>
    </w:p>
    <w:p>
      <w:pPr>
        <w:shd w:val="clear" w:fill="F2F2F2"/>
        <w:spacing w:after="0" w:before="0"/>
        <w:ind w:left="283"/>
      </w:pPr>
      <w:r>
        <w:rPr>
          <w:rFonts w:ascii="Courier New" w:hAnsi="Courier New"/>
          <w:color w:val="404040"/>
          <w:sz w:val="18"/>
        </w:rPr>
        <w:t xml:space="preserve">       └──────────────┬──────┘──────────────────── ┘</w:t>
      </w:r>
    </w:p>
    <w:p>
      <w:pPr>
        <w:shd w:val="clear" w:fill="F2F2F2"/>
        <w:spacing w:after="0" w:before="0"/>
        <w:ind w:left="283"/>
      </w:pPr>
      <w:r>
        <w:rPr>
          <w:rFonts w:ascii="Courier New" w:hAnsi="Courier New"/>
          <w:color w:val="404040"/>
          <w:sz w:val="18"/>
        </w:rPr>
        <w:t xml:space="preserve">                      │ aggregated [inputs] [outputs] [calibrations]</w:t>
      </w:r>
    </w:p>
    <w:p>
      <w:pPr>
        <w:shd w:val="clear" w:fill="F2F2F2"/>
        <w:spacing w:after="0" w:before="0"/>
        <w:ind w:left="283"/>
      </w:pPr>
      <w:r>
        <w:rPr>
          <w:rFonts w:ascii="Courier New" w:hAnsi="Courier New"/>
          <w:color w:val="404040"/>
          <w:sz w:val="18"/>
        </w:rPr>
        <w:t>┌─────────────────────▼───────────────────────────────────────────── ┐</w:t>
      </w:r>
    </w:p>
    <w:p>
      <w:pPr>
        <w:shd w:val="clear" w:fill="F2F2F2"/>
        <w:spacing w:after="0" w:before="0"/>
        <w:ind w:left="283"/>
      </w:pPr>
      <w:r>
        <w:rPr>
          <w:rFonts w:ascii="Courier New" w:hAnsi="Courier New"/>
          <w:color w:val="404040"/>
          <w:sz w:val="18"/>
        </w:rPr>
        <w:t>│                       Output Layer                                  │</w:t>
      </w:r>
    </w:p>
    <w:p>
      <w:pPr>
        <w:shd w:val="clear" w:fill="F2F2F2"/>
        <w:spacing w:after="0" w:before="0"/>
        <w:ind w:left="283"/>
      </w:pPr>
      <w:r>
        <w:rPr>
          <w:rFonts w:ascii="Courier New" w:hAnsi="Courier New"/>
          <w:color w:val="404040"/>
          <w:sz w:val="18"/>
        </w:rPr>
        <w:t>│  write_excel()  ·  _write_data_sheet()  ·  _write_summary_sheet()  │</w:t>
      </w:r>
    </w:p>
    <w:p>
      <w:pPr>
        <w:shd w:val="clear" w:fill="F2F2F2"/>
        <w:spacing w:after="0" w:before="0"/>
        <w:ind w:left="283"/>
      </w:pPr>
      <w:r>
        <w:rPr>
          <w:rFonts w:ascii="Courier New" w:hAnsi="Courier New"/>
          <w:color w:val="404040"/>
          <w:sz w:val="18"/>
        </w:rPr>
        <w:t>└─────────────────────────────────────────────────────────────────────┘</w:t>
      </w:r>
    </w:p>
    <w:p/>
    <w:p>
      <w:pPr>
        <w:pStyle w:val="Heading2"/>
      </w:pPr>
      <w:r>
        <w:rPr>
          <w:color w:val="2E75B6"/>
        </w:rPr>
        <w:t>2.1  CLI Layer</w:t>
      </w:r>
    </w:p>
    <w:p>
      <w:pPr>
        <w:spacing w:after="120" w:before="0"/>
      </w:pPr>
      <w:r>
        <w:rPr>
          <w:b w:val="0"/>
          <w:sz w:val="22"/>
        </w:rPr>
        <w:t>Entry point: main(). Responsibilities: argument parsing (argparse), absolute path resolution, output filename sanitisation, output directory writability check, and orchestration of the downstream layers. Returns an integer exit code for shell script integration.</w:t>
      </w:r>
    </w:p>
    <w:p>
      <w:pPr>
        <w:pStyle w:val="Heading2"/>
      </w:pPr>
      <w:r>
        <w:rPr>
          <w:color w:val="2E75B6"/>
        </w:rPr>
        <w:t>2.2  Aggregation Layer</w:t>
      </w:r>
    </w:p>
    <w:p>
      <w:pPr>
        <w:spacing w:after="120" w:before="0"/>
      </w:pPr>
      <w:r>
        <w:rPr>
          <w:b w:val="0"/>
          <w:sz w:val="22"/>
        </w:rPr>
        <w:t>Function: parse_path(). Accepts a Path object that may be either a file or a directory. For directories, rglob() recursively discovers all .scade and .xscade files. For each discovered file, a fresh ScadeModelParser instance is created. Results are concatenated into three master lists which are returned to the caller.</w:t>
      </w:r>
    </w:p>
    <w:p>
      <w:pPr>
        <w:spacing w:after="120" w:before="0"/>
      </w:pPr>
      <w:r>
        <w:rPr>
          <w:b w:val="0"/>
          <w:sz w:val="22"/>
        </w:rPr>
        <w:t>Per-file errors (malformed XML, oversized files, permission denied) are caught as Python exceptions, reported to stderr with a [SKIP] tag, and processing continues with the remaining files.</w:t>
      </w:r>
    </w:p>
    <w:p>
      <w:pPr>
        <w:pStyle w:val="Heading2"/>
      </w:pPr>
      <w:r>
        <w:rPr>
          <w:color w:val="2E75B6"/>
        </w:rPr>
        <w:t>2.3  Parser Layer</w:t>
      </w:r>
    </w:p>
    <w:p>
      <w:pPr>
        <w:spacing w:after="120" w:before="0"/>
      </w:pPr>
      <w:r>
        <w:rPr>
          <w:b w:val="0"/>
          <w:sz w:val="22"/>
        </w:rPr>
        <w:t>Class: ScadeModelParser. One instance per file. The .parse() method calls the XML loading function, then passes the document root to _walk() — a depth-first recursive traversal.</w:t>
      </w:r>
    </w:p>
    <w:p>
      <w:pPr>
        <w:spacing w:after="120" w:before="0"/>
      </w:pPr>
      <w:r>
        <w:rPr>
          <w:b w:val="0"/>
          <w:sz w:val="22"/>
        </w:rPr>
        <w:t>_walk() maintains two context variables — operator (the name of the current SCADE operator being visited) and package (the slash-delimited path of nested Package elements). These are threaded as parameters through each recursive call rather than stored as instance state, making the traversal reentrant and thread-safe per instance.</w:t>
      </w:r>
    </w:p>
    <w:p>
      <w:pPr>
        <w:pStyle w:val="Heading2"/>
      </w:pPr>
      <w:r>
        <w:rPr>
          <w:color w:val="2E75B6"/>
        </w:rPr>
        <w:t>2.4  Output Layer</w:t>
      </w:r>
    </w:p>
    <w:p>
      <w:pPr>
        <w:spacing w:after="120" w:before="0"/>
      </w:pPr>
      <w:r>
        <w:rPr>
          <w:b w:val="0"/>
          <w:sz w:val="22"/>
        </w:rPr>
        <w:t>Functions: write_excel(), _write_data_sheet(), _write_summary_sheet(). Creates an openpyxl Workbook, adds a Summary sheet at index 0, then three data sheets. Each data sheet receives formatted headers, alternating row fills, auto-sized columns (capped at 55 characters), a frozen first row, and an auto-filter range. The workbook is saved atomically by openpyxl.</w:t>
      </w:r>
    </w:p>
    <w:p>
      <w:r>
        <w:br w:type="page"/>
      </w:r>
    </w:p>
    <w:p>
      <w:pPr>
        <w:pStyle w:val="Heading1"/>
      </w:pPr>
      <w:r>
        <w:rPr>
          <w:color w:val="1F4E79"/>
        </w:rPr>
        <w:t>3  XML Parsing Strategy</w:t>
      </w:r>
    </w:p>
    <w:p>
      <w:pPr>
        <w:pStyle w:val="Heading2"/>
      </w:pPr>
      <w:r>
        <w:rPr>
          <w:color w:val="2E75B6"/>
        </w:rPr>
        <w:t>3.1  Namespace Handling</w:t>
      </w:r>
    </w:p>
    <w:p>
      <w:pPr>
        <w:spacing w:after="120" w:before="0"/>
      </w:pPr>
      <w:r>
        <w:rPr>
          <w:b w:val="0"/>
          <w:sz w:val="22"/>
        </w:rPr>
        <w:t>SCADE XML files may or may not carry a namespace URI on element tags (e.g. {http://www.esterel-technologies.com/ns/scade/2}Operator). The helper function _strip_ns() removes any namespace prefix of the form {uri}TagName, leaving only the local tag name. This makes all element matching version-agnostic: the same tag strings (Input, Output, Sensor, Const, etc.) work regardless of whether a namespace is declared.</w:t>
      </w:r>
    </w:p>
    <w:p>
      <w:pPr>
        <w:pStyle w:val="Heading2"/>
      </w:pPr>
      <w:r>
        <w:rPr>
          <w:color w:val="2E75B6"/>
        </w:rPr>
        <w:t>3.2  Attribute Resolution</w:t>
      </w:r>
    </w:p>
    <w:p>
      <w:pPr>
        <w:spacing w:after="120" w:before="0"/>
      </w:pPr>
      <w:r>
        <w:rPr>
          <w:b w:val="0"/>
          <w:sz w:val="22"/>
        </w:rPr>
        <w:t>SCADE attribute names for the same concept vary across versions and tool configurations (e.g. TypeRef vs typeRef vs Type for the data type, Direction vs direction for signal direction). The _attr() helper accepts a variadic list of candidate attribute names and returns the value of the first one present on the element. This strategy avoids brittle hard-coding of a single attribute name per field.</w:t>
      </w:r>
    </w:p>
    <w:p>
      <w:pPr>
        <w:pStyle w:val="Heading2"/>
      </w:pPr>
      <w:r>
        <w:rPr>
          <w:color w:val="2E75B6"/>
        </w:rPr>
        <w:t>3.3  Multi-Pattern Signal Detection</w:t>
      </w:r>
    </w:p>
    <w:p>
      <w:pPr>
        <w:spacing w:after="120" w:before="0"/>
      </w:pPr>
      <w:r>
        <w:rPr>
          <w:b w:val="0"/>
          <w:sz w:val="22"/>
        </w:rPr>
        <w:t>SCADE operators declare their signal interfaces in at least three XML patterns. The parser handles all three in a single _walk() dispatch:</w:t>
      </w:r>
    </w:p>
    <w:tbl>
      <w:tblPr>
        <w:tblStyle w:val="TableGrid"/>
        <w:tblW w:type="auto" w:w="0"/>
        <w:tblLook w:firstColumn="1" w:firstRow="1" w:lastColumn="0" w:lastRow="0" w:noHBand="0" w:noVBand="1" w:val="04A0"/>
      </w:tblPr>
      <w:tblGrid>
        <w:gridCol w:w="2928"/>
        <w:gridCol w:w="2928"/>
        <w:gridCol w:w="2928"/>
      </w:tblGrid>
      <w:tr>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Pattern</w:t>
            </w:r>
          </w:p>
        </w:tc>
        <w:tc>
          <w:tcPr>
            <w:tcW w:type="dxa" w:w="311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XML Structure</w:t>
            </w:r>
          </w:p>
        </w:tc>
        <w:tc>
          <w:tcPr>
            <w:tcW w:type="dxa" w:w="4252"/>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Detection Logic</w:t>
            </w:r>
          </w:p>
        </w:tc>
      </w:tr>
      <w:tr>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 — Flat Attribute</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&lt;Input Name="x" TypeRef="float32"/&gt;</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Detected when the Input or Output element itself has a Name attribute.</w:t>
            </w:r>
          </w:p>
        </w:tc>
      </w:tr>
      <w:tr>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B — Variable Children</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&lt;Input&gt;&lt;Variable Name="x" …/&gt;&lt;/Input&gt;</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Detected when Input/Output element contains Variable child elements.</w:t>
            </w:r>
          </w:p>
        </w:tc>
      </w:tr>
      <w:tr>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 — Direction Attribute</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&lt;Variable … Direction="in"/&gt;</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Detected when a Variable element has a Direction attribute of 'in' or 'out'.</w:t>
            </w:r>
          </w:p>
        </w:tc>
      </w:tr>
    </w:tbl>
    <w:p>
      <w:pPr>
        <w:spacing w:after="120" w:before="0"/>
      </w:pPr>
    </w:p>
    <w:p>
      <w:pPr>
        <w:spacing w:after="120" w:before="0"/>
      </w:pPr>
      <w:r>
        <w:rPr>
          <w:b w:val="0"/>
          <w:sz w:val="22"/>
        </w:rPr>
        <w:t>When an Input or Output element with Variable children is encountered, the _walk() method processes the children inline and returns early (without re-entering them in the normal recursion loop) to avoid double-counting.</w:t>
      </w:r>
    </w:p>
    <w:p>
      <w:pPr>
        <w:pStyle w:val="Heading2"/>
      </w:pPr>
      <w:r>
        <w:rPr>
          <w:color w:val="2E75B6"/>
        </w:rPr>
        <w:t>3.4  Calibration Parameter Detection</w:t>
      </w:r>
    </w:p>
    <w:p>
      <w:pPr>
        <w:spacing w:after="120" w:before="0"/>
      </w:pPr>
      <w:r>
        <w:rPr>
          <w:b w:val="0"/>
          <w:sz w:val="22"/>
        </w:rPr>
        <w:t>Three element tag names are matched as calibration parameters: Sensor, Const, and Constant. Both 'Const' and 'Constant' are matched explicitly because different SCADE Suite versions and project conventions use either spelling for compile-time constants. Matching only one would silently drop constants from some models. Default values are resolved by checking (in order): the Default attribute, the Value attribute, the InitVal attribute, then child elements named Value, Default, or InitVal. This multi-step resolution covers the range of formats observed in real SCADE models.</w:t>
      </w:r>
    </w:p>
    <w:p>
      <w:r>
        <w:br w:type="page"/>
      </w:r>
    </w:p>
    <w:p>
      <w:pPr>
        <w:pStyle w:val="Heading1"/>
      </w:pPr>
      <w:r>
        <w:rPr>
          <w:color w:val="1F4E79"/>
        </w:rPr>
        <w:t>4  Security Architecture</w:t>
      </w:r>
    </w:p>
    <w:p>
      <w:pPr>
        <w:spacing w:after="120" w:before="0"/>
      </w:pPr>
      <w:r>
        <w:rPr>
          <w:b w:val="0"/>
          <w:sz w:val="22"/>
        </w:rPr>
        <w:t>Security is a first-class concern. The parser is designed to process untrusted model files safely in automated CI/CD pipelines.</w:t>
      </w:r>
    </w:p>
    <w:tbl>
      <w:tblPr>
        <w:tblStyle w:val="TableGrid"/>
        <w:tblW w:type="auto" w:w="0"/>
        <w:tblLook w:firstColumn="1" w:firstRow="1" w:lastColumn="0" w:lastRow="0" w:noHBand="0" w:noVBand="1" w:val="04A0"/>
      </w:tblPr>
      <w:tblGrid>
        <w:gridCol w:w="2196"/>
        <w:gridCol w:w="2196"/>
        <w:gridCol w:w="2196"/>
        <w:gridCol w:w="2196"/>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Control</w:t>
            </w:r>
          </w:p>
        </w:tc>
        <w:tc>
          <w:tcPr>
            <w:tcW w:type="dxa" w:w="311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Risk Addressed</w:t>
            </w:r>
          </w:p>
        </w:tc>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Severity</w:t>
            </w:r>
          </w:p>
        </w:tc>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Implementation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XXE Injection Prevention</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XML External Entity (XXE) attacks allow a malicious XML file to read arbitrary files from the host filesystem or trigger outbound network requests. The parser uses defusedxml as its primary defence: defusedxml raises an EntitiesForbidden exception on any DOCTYPE or entity declaration. When defusedxml is unavailable, a stdlib fallback disables the expat parser's ExternalEntityParserCreate handler and rejects DOCTYPE declarations.</w:t>
            </w:r>
          </w:p>
        </w:tc>
        <w:tc>
          <w:tcPr>
            <w:tcW w:type="dxa" w:w="1134"/>
            <w:shd w:val="clear" w:color="auto" w:fill="DCE6F1"/>
            <w:shd w:val="clear" w:color="auto" w:fill="FFE0E0"/>
            <w:tcBorders>
              <w:top w:val="single" w:sz="4" w:space="0" w:color="CCCCCC"/>
              <w:left w:val="single" w:sz="4" w:space="0" w:color="CCCCCC"/>
              <w:bottom w:val="single" w:sz="4" w:space="0" w:color="CCCCCC"/>
              <w:right w:val="single" w:sz="4" w:space="0" w:color="CCCCCC"/>
            </w:tcBorders>
            <w:vAlign w:val="center"/>
          </w:tcPr>
          <w:p>
            <w:r>
              <w:rPr>
                <w:sz w:val="20"/>
              </w:rPr>
              <w:t>High</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defusedxml (primary), stdlib XXE rejection (fallback)</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File Size Limit</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Adversarially crafted XML files can consume disproportionate memory during parsing (billion-laughs / XML bomb attacks). The parser rejects any file exceeding MAX_FILE_SIZE_MB (default: 50 MB) before opening it. This is checked via Path.stat().st_size before any XML parsing begins.</w:t>
            </w:r>
          </w:p>
        </w:tc>
        <w:tc>
          <w:tcPr>
            <w:tcW w:type="dxa" w:w="1134"/>
            <w:shd w:val="clear" w:color="auto" w:fill="FFE0E0"/>
            <w:tcBorders>
              <w:top w:val="single" w:sz="4" w:space="0" w:color="CCCCCC"/>
              <w:left w:val="single" w:sz="4" w:space="0" w:color="CCCCCC"/>
              <w:bottom w:val="single" w:sz="4" w:space="0" w:color="CCCCCC"/>
              <w:right w:val="single" w:sz="4" w:space="0" w:color="CCCCCC"/>
            </w:tcBorders>
            <w:vAlign w:val="center"/>
          </w:tcPr>
          <w:p>
            <w:r>
              <w:rPr>
                <w:sz w:val="20"/>
              </w:rPr>
              <w:t>High</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Pre-parse size check in _validate_input_path()</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Extension Allowlist</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parser only opens files whose extension is in ALLOWED_EXTENSIONS (.scade, .xscade). This prevents accidental processing of binary files or other XML dialects that could trigger unexpected parser behaviour.</w:t>
            </w:r>
          </w:p>
        </w:tc>
        <w:tc>
          <w:tcPr>
            <w:tcW w:type="dxa" w:w="1134"/>
            <w:shd w:val="clear" w:color="auto" w:fill="DCE6F1"/>
            <w:shd w:val="clear" w:color="auto" w:fill="FFF3CC"/>
            <w:tcBorders>
              <w:top w:val="single" w:sz="4" w:space="0" w:color="CCCCCC"/>
              <w:left w:val="single" w:sz="4" w:space="0" w:color="CCCCCC"/>
              <w:bottom w:val="single" w:sz="4" w:space="0" w:color="CCCCCC"/>
              <w:right w:val="single" w:sz="4" w:space="0" w:color="CCCCCC"/>
            </w:tcBorders>
            <w:vAlign w:val="center"/>
          </w:tcPr>
          <w:p>
            <w:r>
              <w:rPr>
                <w:sz w:val="20"/>
              </w:rPr>
              <w:t>Medium</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ALLOWED_EXTENSIONS set, checked in _validate_input_path()</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Output Path Sanitisation</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The output filename is passed through _sanitise_filename(), which removes any characters outside [A-Za-z0-9_.-]. The output path's parent directory must exist and be writable before any file is created. The output extension must be .xlsx.</w:t>
            </w:r>
          </w:p>
        </w:tc>
        <w:tc>
          <w:tcPr>
            <w:tcW w:type="dxa" w:w="1134"/>
            <w:shd w:val="clear" w:color="auto" w:fill="FFF3CC"/>
            <w:tcBorders>
              <w:top w:val="single" w:sz="4" w:space="0" w:color="CCCCCC"/>
              <w:left w:val="single" w:sz="4" w:space="0" w:color="CCCCCC"/>
              <w:bottom w:val="single" w:sz="4" w:space="0" w:color="CCCCCC"/>
              <w:right w:val="single" w:sz="4" w:space="0" w:color="CCCCCC"/>
            </w:tcBorders>
            <w:vAlign w:val="center"/>
          </w:tcPr>
          <w:p>
            <w:r>
              <w:rPr>
                <w:sz w:val="20"/>
              </w:rPr>
              <w:t>Medium</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_sanitise_filename(), _validate_output_path()</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No Dynamic Code Execution</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codebase contains no calls to eval(), exec(), compile(), or subprocess with shell=True. All external interactions are file I/O through standard library functions and the openpyxl write path.</w:t>
            </w:r>
          </w:p>
        </w:tc>
        <w:tc>
          <w:tcPr>
            <w:tcW w:type="dxa" w:w="1134"/>
            <w:shd w:val="clear" w:color="auto" w:fill="DCE6F1"/>
            <w:shd w:val="clear" w:color="auto" w:fill="FFE0E0"/>
            <w:tcBorders>
              <w:top w:val="single" w:sz="4" w:space="0" w:color="CCCCCC"/>
              <w:left w:val="single" w:sz="4" w:space="0" w:color="CCCCCC"/>
              <w:bottom w:val="single" w:sz="4" w:space="0" w:color="CCCCCC"/>
              <w:right w:val="single" w:sz="4" w:space="0" w:color="CCCCCC"/>
            </w:tcBorders>
            <w:vAlign w:val="center"/>
          </w:tcPr>
          <w:p>
            <w:r>
              <w:rPr>
                <w:sz w:val="20"/>
              </w:rPr>
              <w:t>High</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Code review — no dynamic execution</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Path Traversal Prevention</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All paths are resolved to absolute form using Path.resolve() before use. The output directory existence check prevents writing outside the intended directory even if a traversal sequence (../) appears in user input.</w:t>
            </w:r>
          </w:p>
        </w:tc>
        <w:tc>
          <w:tcPr>
            <w:tcW w:type="dxa" w:w="1134"/>
            <w:shd w:val="clear" w:color="auto" w:fill="FFF3CC"/>
            <w:tcBorders>
              <w:top w:val="single" w:sz="4" w:space="0" w:color="CCCCCC"/>
              <w:left w:val="single" w:sz="4" w:space="0" w:color="CCCCCC"/>
              <w:bottom w:val="single" w:sz="4" w:space="0" w:color="CCCCCC"/>
              <w:right w:val="single" w:sz="4" w:space="0" w:color="CCCCCC"/>
            </w:tcBorders>
            <w:vAlign w:val="center"/>
          </w:tcPr>
          <w:p>
            <w:r>
              <w:rPr>
                <w:sz w:val="20"/>
              </w:rPr>
              <w:t>Medium</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Path.resolve() on all paths</w:t>
            </w:r>
          </w:p>
        </w:tc>
      </w:tr>
    </w:tbl>
    <w:p/>
    <w:p>
      <w:pPr>
        <w:shd w:val="clear" w:fill="FFF0F0"/>
        <w:pBdr>
          <w:top w:val="single" w:sz="6" w:space="4" w:color="C02020"/>
          <w:left w:val="single" w:sz="6" w:space="4" w:color="C02020"/>
          <w:bottom w:val="single" w:sz="6" w:space="4" w:color="C02020"/>
          <w:right w:val="single" w:sz="6" w:space="4" w:color="C02020"/>
        </w:pBdr>
        <w:spacing w:after="160"/>
        <w:ind w:left="170" w:right="170"/>
      </w:pPr>
      <w:r>
        <w:rPr>
          <w:sz w:val="20"/>
        </w:rPr>
        <w:t>SECURITY WARNING — defusedxml fallback is a partial mitigation only: When defusedxml is not installed the parser falls back to the Python stdlib xml.etree module with a custom handler that rejects DOCTYPE declarations and external entity resolver creation. This blocks the most common XXE vector, but it does NOT provide the same depth of protection as defusedxml, which was purpose-built and audited for this threat class. In particular, some parser configurations or future Python versions may not honour the fallback hooks. Treat the stdlib fallback as a last resort for isolated development environments only. In any CI/CD pipeline, security scan, or production workflow, defusedxml MUST be installed. Run:  pip install defusedxml&gt;=0.7.1</w:t>
      </w:r>
    </w:p>
    <w:p>
      <w:r>
        <w:br w:type="page"/>
      </w:r>
    </w:p>
    <w:p>
      <w:pPr>
        <w:pStyle w:val="Heading1"/>
      </w:pPr>
      <w:r>
        <w:rPr>
          <w:color w:val="1F4E79"/>
        </w:rPr>
        <w:t>5  Extension Points</w:t>
      </w:r>
    </w:p>
    <w:p>
      <w:pPr>
        <w:spacing w:after="120" w:before="0"/>
      </w:pPr>
      <w:r>
        <w:rPr>
          <w:b w:val="0"/>
          <w:sz w:val="22"/>
        </w:rPr>
        <w:t>The parser is designed so that common extensions require changes to only one location in the code.</w:t>
      </w:r>
    </w:p>
    <w:p>
      <w:pPr>
        <w:pStyle w:val="Heading2"/>
      </w:pPr>
      <w:r>
        <w:rPr>
          <w:color w:val="2E75B6"/>
        </w:rPr>
        <w:t>5.1  Adding Support for a New SCADE Element Type</w:t>
      </w:r>
    </w:p>
    <w:p>
      <w:pPr>
        <w:spacing w:after="120" w:before="0"/>
      </w:pPr>
      <w:r>
        <w:rPr>
          <w:b w:val="0"/>
          <w:sz w:val="22"/>
        </w:rPr>
        <w:t>To extract a new element type (e.g. LocalVariable or GlobalVariable), add an elif branch in the _walk() method:</w:t>
      </w:r>
    </w:p>
    <w:p>
      <w:pPr>
        <w:shd w:val="clear" w:fill="F2F2F2"/>
        <w:spacing w:after="0" w:before="0"/>
        <w:ind w:left="283"/>
      </w:pPr>
      <w:r>
        <w:rPr>
          <w:rFonts w:ascii="Courier New" w:hAnsi="Courier New"/>
          <w:color w:val="404040"/>
          <w:sz w:val="18"/>
        </w:rPr>
        <w:t>elif tag == 'LocalVariable':</w:t>
      </w:r>
    </w:p>
    <w:p>
      <w:pPr>
        <w:shd w:val="clear" w:fill="F2F2F2"/>
        <w:spacing w:after="0" w:before="0"/>
        <w:ind w:left="283"/>
      </w:pPr>
      <w:r>
        <w:rPr>
          <w:rFonts w:ascii="Courier New" w:hAnsi="Courier New"/>
          <w:color w:val="404040"/>
          <w:sz w:val="18"/>
        </w:rPr>
        <w:t xml:space="preserve">    self._collect_var(element, 'Local', operator, package)</w:t>
      </w:r>
    </w:p>
    <w:p/>
    <w:p>
      <w:pPr>
        <w:spacing w:after="120" w:before="0"/>
      </w:pPr>
      <w:r>
        <w:rPr>
          <w:b w:val="0"/>
          <w:sz w:val="22"/>
        </w:rPr>
        <w:t>If the new element type has a different schema from Signal or Calibration records, add a new _collect_xxx() method and a corresponding list (self.locals, for example) in __init__().</w:t>
      </w:r>
    </w:p>
    <w:p>
      <w:pPr>
        <w:pStyle w:val="Heading2"/>
      </w:pPr>
      <w:r>
        <w:rPr>
          <w:color w:val="2E75B6"/>
        </w:rPr>
        <w:t>5.2  Adding a New Output Format</w:t>
      </w:r>
    </w:p>
    <w:p>
      <w:pPr>
        <w:spacing w:after="120" w:before="0"/>
      </w:pPr>
      <w:r>
        <w:rPr>
          <w:b w:val="0"/>
          <w:sz w:val="22"/>
        </w:rPr>
        <w:t>The aggregated inputs, outputs, and calibrations lists are plain Python lists of dicts. To add a CSV export:</w:t>
      </w:r>
    </w:p>
    <w:p>
      <w:pPr>
        <w:shd w:val="clear" w:fill="F2F2F2"/>
        <w:spacing w:after="0" w:before="0"/>
        <w:ind w:left="283"/>
      </w:pPr>
      <w:r>
        <w:rPr>
          <w:rFonts w:ascii="Courier New" w:hAnsi="Courier New"/>
          <w:color w:val="404040"/>
          <w:sz w:val="18"/>
        </w:rPr>
        <w:t>import csv</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def write_csv(inputs, outputs, calibrations, base_path: Path):</w:t>
      </w:r>
    </w:p>
    <w:p>
      <w:pPr>
        <w:shd w:val="clear" w:fill="F2F2F2"/>
        <w:spacing w:after="0" w:before="0"/>
        <w:ind w:left="283"/>
      </w:pPr>
      <w:r>
        <w:rPr>
          <w:rFonts w:ascii="Courier New" w:hAnsi="Courier New"/>
          <w:color w:val="404040"/>
          <w:sz w:val="18"/>
        </w:rPr>
        <w:t xml:space="preserve">    for name, rows, cols in [</w:t>
      </w:r>
    </w:p>
    <w:p>
      <w:pPr>
        <w:shd w:val="clear" w:fill="F2F2F2"/>
        <w:spacing w:after="0" w:before="0"/>
        <w:ind w:left="283"/>
      </w:pPr>
      <w:r>
        <w:rPr>
          <w:rFonts w:ascii="Courier New" w:hAnsi="Courier New"/>
          <w:color w:val="404040"/>
          <w:sz w:val="18"/>
        </w:rPr>
        <w:t xml:space="preserve">        ('inputs',  inputs,  _INPUT_COLS),</w:t>
      </w:r>
    </w:p>
    <w:p>
      <w:pPr>
        <w:shd w:val="clear" w:fill="F2F2F2"/>
        <w:spacing w:after="0" w:before="0"/>
        <w:ind w:left="283"/>
      </w:pPr>
      <w:r>
        <w:rPr>
          <w:rFonts w:ascii="Courier New" w:hAnsi="Courier New"/>
          <w:color w:val="404040"/>
          <w:sz w:val="18"/>
        </w:rPr>
        <w:t xml:space="preserve">        ('outputs', outputs, _OUTPUT_COLS),</w:t>
      </w:r>
    </w:p>
    <w:p>
      <w:pPr>
        <w:shd w:val="clear" w:fill="F2F2F2"/>
        <w:spacing w:after="0" w:before="0"/>
        <w:ind w:left="283"/>
      </w:pPr>
      <w:r>
        <w:rPr>
          <w:rFonts w:ascii="Courier New" w:hAnsi="Courier New"/>
          <w:color w:val="404040"/>
          <w:sz w:val="18"/>
        </w:rPr>
        <w:t xml:space="preserve">        ('calibrations', calibrations, _CALIBRATION_COLS),</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 xml:space="preserve">        with open(base_path.with_suffix('') / f'{name}.csv', 'w') as f:</w:t>
      </w:r>
    </w:p>
    <w:p>
      <w:pPr>
        <w:shd w:val="clear" w:fill="F2F2F2"/>
        <w:spacing w:after="0" w:before="0"/>
        <w:ind w:left="283"/>
      </w:pPr>
      <w:r>
        <w:rPr>
          <w:rFonts w:ascii="Courier New" w:hAnsi="Courier New"/>
          <w:color w:val="404040"/>
          <w:sz w:val="18"/>
        </w:rPr>
        <w:t xml:space="preserve">            writer = csv.DictWriter(f, fieldnames=cols)</w:t>
      </w:r>
    </w:p>
    <w:p>
      <w:pPr>
        <w:shd w:val="clear" w:fill="F2F2F2"/>
        <w:spacing w:after="0" w:before="0"/>
        <w:ind w:left="283"/>
      </w:pPr>
      <w:r>
        <w:rPr>
          <w:rFonts w:ascii="Courier New" w:hAnsi="Courier New"/>
          <w:color w:val="404040"/>
          <w:sz w:val="18"/>
        </w:rPr>
        <w:t xml:space="preserve">            writer.writeheader()</w:t>
      </w:r>
    </w:p>
    <w:p>
      <w:pPr>
        <w:shd w:val="clear" w:fill="F2F2F2"/>
        <w:spacing w:after="0" w:before="0"/>
        <w:ind w:left="283"/>
      </w:pPr>
      <w:r>
        <w:rPr>
          <w:rFonts w:ascii="Courier New" w:hAnsi="Courier New"/>
          <w:color w:val="404040"/>
          <w:sz w:val="18"/>
        </w:rPr>
        <w:t xml:space="preserve">            writer.writerows(rows)</w:t>
      </w:r>
    </w:p>
    <w:p/>
    <w:p>
      <w:pPr>
        <w:pStyle w:val="Heading2"/>
      </w:pPr>
      <w:r>
        <w:rPr>
          <w:color w:val="2E75B6"/>
        </w:rPr>
        <w:t>5.3  Adjusting the File Size Limit</w:t>
      </w:r>
    </w:p>
    <w:p>
      <w:pPr>
        <w:spacing w:after="120" w:before="0"/>
      </w:pPr>
      <w:r>
        <w:rPr>
          <w:b w:val="0"/>
          <w:sz w:val="22"/>
        </w:rPr>
        <w:t>Change the MAX_FILE_SIZE_MB constant at the top of the module. No other code changes are required.</w:t>
      </w:r>
    </w:p>
    <w:p>
      <w:pPr>
        <w:pStyle w:val="Heading2"/>
      </w:pPr>
      <w:r>
        <w:rPr>
          <w:color w:val="2E75B6"/>
        </w:rPr>
        <w:t>5.4  Adding New Attribute Name Variants</w:t>
      </w:r>
    </w:p>
    <w:p>
      <w:pPr>
        <w:spacing w:after="120" w:before="0"/>
      </w:pPr>
      <w:r>
        <w:rPr>
          <w:b w:val="0"/>
          <w:sz w:val="22"/>
        </w:rPr>
        <w:t>If a new SCADE version introduces a different attribute name for an existing field, add the new name to the appropriate _attr() call in _collect_var() or _collect_cal(). For example, if the type attribute is renamed "DataTypeRef" in a future version:</w:t>
      </w:r>
    </w:p>
    <w:p>
      <w:pPr>
        <w:shd w:val="clear" w:fill="F2F2F2"/>
        <w:spacing w:after="0" w:before="0"/>
        <w:ind w:left="283"/>
      </w:pPr>
      <w:r>
        <w:rPr>
          <w:rFonts w:ascii="Courier New" w:hAnsi="Courier New"/>
          <w:color w:val="404040"/>
          <w:sz w:val="18"/>
        </w:rPr>
        <w:t># Before</w:t>
      </w:r>
    </w:p>
    <w:p>
      <w:pPr>
        <w:shd w:val="clear" w:fill="F2F2F2"/>
        <w:spacing w:after="0" w:before="0"/>
        <w:ind w:left="283"/>
      </w:pPr>
      <w:r>
        <w:rPr>
          <w:rFonts w:ascii="Courier New" w:hAnsi="Courier New"/>
          <w:color w:val="404040"/>
          <w:sz w:val="18"/>
        </w:rPr>
        <w:t>_attr(el, "TypeRef", "typeRef", "Type", "type", "DataType", default="unknown")</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 After</w:t>
      </w:r>
    </w:p>
    <w:p>
      <w:pPr>
        <w:shd w:val="clear" w:fill="F2F2F2"/>
        <w:spacing w:after="0" w:before="0"/>
        <w:ind w:left="283"/>
      </w:pPr>
      <w:r>
        <w:rPr>
          <w:rFonts w:ascii="Courier New" w:hAnsi="Courier New"/>
          <w:color w:val="404040"/>
          <w:sz w:val="18"/>
        </w:rPr>
        <w:t>_attr(el, "TypeRef", "typeRef", "Type", "type", "DataType", "DataTypeRef", default="unknown")</w:t>
      </w:r>
    </w:p>
    <w:p/>
    <w:p>
      <w:r>
        <w:br w:type="page"/>
      </w:r>
    </w:p>
    <w:p>
      <w:pPr>
        <w:pStyle w:val="Heading1"/>
      </w:pPr>
      <w:r>
        <w:rPr>
          <w:color w:val="1F4E79"/>
        </w:rPr>
        <w:t>6  Technology Stack</w:t>
      </w:r>
    </w:p>
    <w:tbl>
      <w:tblPr>
        <w:tblStyle w:val="TableGrid"/>
        <w:tblW w:type="auto" w:w="0"/>
        <w:tblLook w:firstColumn="1" w:firstRow="1" w:lastColumn="0" w:lastRow="0" w:noHBand="0" w:noVBand="1" w:val="04A0"/>
      </w:tblPr>
      <w:tblGrid>
        <w:gridCol w:w="2196"/>
        <w:gridCol w:w="2196"/>
        <w:gridCol w:w="2196"/>
        <w:gridCol w:w="2196"/>
      </w:tblGrid>
      <w:tr>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Component</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Technology</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Version</w:t>
            </w:r>
          </w:p>
        </w:tc>
        <w:tc>
          <w:tcPr>
            <w:tcW w:type="dxa" w:w="3685"/>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Rationale</w:t>
            </w:r>
          </w:p>
        </w:tc>
      </w:tr>
      <w:tr>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Runtime</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Python</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3.10+</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Widely available in embedded engineering workflows; rich stdlib for XML and file I/O.</w:t>
            </w:r>
          </w:p>
        </w:tc>
      </w:tr>
      <w:tr>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XML Parsing</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defusedxml</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&gt;=0.7.1</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Industry-standard XXE protection library. MIT licensed.</w:t>
            </w:r>
          </w:p>
        </w:tc>
      </w:tr>
      <w:tr>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XML Fallback</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xml.etree (stdlib)</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Built-in</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Used when defusedxml is unavailable; configured to reject DTD/entities.</w:t>
            </w:r>
          </w:p>
        </w:tc>
      </w:tr>
      <w:tr>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Excel Generation</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openpyxl</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&gt;=3.1.0</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De-facto standard .xlsx library. Supports formatting, freeze panes, auto-filter.</w:t>
            </w:r>
          </w:p>
        </w:tc>
      </w:tr>
      <w:tr>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CLI Parsing</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argparse (stdlib)</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Built-in</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No additional dependency; sufficient for a simple two-argument interface.</w:t>
            </w:r>
          </w:p>
        </w:tc>
      </w:tr>
      <w:tr>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Path Handling</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pathlib (stdlib)</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Built-in</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Cross-platform path manipulation; used for all file system operations.</w:t>
            </w:r>
          </w:p>
        </w:tc>
      </w:tr>
    </w:tbl>
    <w:p/>
    <w:p>
      <w:pPr>
        <w:pStyle w:val="Heading2"/>
      </w:pPr>
      <w:r>
        <w:rPr>
          <w:color w:val="2E75B6"/>
        </w:rPr>
        <w:t>6.1  Dependency Policy</w:t>
      </w:r>
    </w:p>
    <w:p>
      <w:pPr>
        <w:spacing w:after="120" w:before="0"/>
      </w:pPr>
      <w:r>
        <w:rPr>
          <w:b w:val="0"/>
          <w:sz w:val="22"/>
        </w:rPr>
        <w:t>The parser deliberately minimises its dependency surface. Only two non-stdlib packages are required (openpyxl, defusedxml). This simplifies deployment in locked-down CI environments and reduces the attack surface from transitive dependencies. Future changes should maintain this principle: prefer stdlib over third-party packages unless there is a compelling reason.</w:t>
      </w:r>
    </w:p>
    <w:p>
      <w:r>
        <w:br w:type="page"/>
      </w:r>
    </w:p>
    <w:p>
      <w:pPr>
        <w:pStyle w:val="Heading1"/>
      </w:pPr>
      <w:r>
        <w:rPr>
          <w:color w:val="1F4E79"/>
        </w:rPr>
        <w:t>7  Deployment and Integration</w:t>
      </w:r>
    </w:p>
    <w:p>
      <w:pPr>
        <w:pStyle w:val="Heading2"/>
      </w:pPr>
      <w:r>
        <w:rPr>
          <w:color w:val="2E75B6"/>
        </w:rPr>
        <w:t>7.1  Standalone Use</w:t>
      </w:r>
    </w:p>
    <w:p>
      <w:pPr>
        <w:spacing w:after="120" w:before="0"/>
      </w:pPr>
      <w:r>
        <w:rPr>
          <w:b w:val="0"/>
          <w:sz w:val="22"/>
        </w:rPr>
        <w:t>The parser can be run directly with no build or installation step, provided Python 3.10+ and the two dependencies are available:</w:t>
      </w:r>
    </w:p>
    <w:p>
      <w:pPr>
        <w:shd w:val="clear" w:fill="F2F2F2"/>
        <w:spacing w:after="0" w:before="0"/>
        <w:ind w:left="283"/>
      </w:pPr>
      <w:r>
        <w:rPr>
          <w:rFonts w:ascii="Courier New" w:hAnsi="Courier New"/>
          <w:color w:val="404040"/>
          <w:sz w:val="18"/>
        </w:rPr>
        <w:t>pip install openpyxl defusedxml</w:t>
      </w:r>
    </w:p>
    <w:p>
      <w:pPr>
        <w:shd w:val="clear" w:fill="F2F2F2"/>
        <w:spacing w:after="0" w:before="0"/>
        <w:ind w:left="283"/>
      </w:pPr>
      <w:r>
        <w:rPr>
          <w:rFonts w:ascii="Courier New" w:hAnsi="Courier New"/>
          <w:color w:val="404040"/>
          <w:sz w:val="18"/>
        </w:rPr>
        <w:t>python scade_parser.py ./models/ --output signals.xlsx</w:t>
      </w:r>
    </w:p>
    <w:p/>
    <w:p>
      <w:pPr>
        <w:pStyle w:val="Heading2"/>
      </w:pPr>
      <w:r>
        <w:rPr>
          <w:color w:val="2E75B6"/>
        </w:rPr>
        <w:t>7.2  CI/CD Pipeline Integration</w:t>
      </w:r>
    </w:p>
    <w:p>
      <w:pPr>
        <w:spacing w:after="120" w:before="0"/>
      </w:pPr>
      <w:r>
        <w:rPr>
          <w:b w:val="0"/>
          <w:sz w:val="22"/>
        </w:rPr>
        <w:t>In a CI pipeline (GitHub Actions, GitLab CI, Jenkins, etc.), the parser can be invoked as a post-build step to generate a signal inventory artefact:</w:t>
      </w:r>
    </w:p>
    <w:p>
      <w:pPr>
        <w:shd w:val="clear" w:fill="F2F2F2"/>
        <w:spacing w:after="0" w:before="0"/>
        <w:ind w:left="283"/>
      </w:pPr>
      <w:r>
        <w:rPr>
          <w:rFonts w:ascii="Courier New" w:hAnsi="Courier New"/>
          <w:color w:val="404040"/>
          <w:sz w:val="18"/>
        </w:rPr>
        <w:t># Example GitHub Actions step</w:t>
      </w:r>
    </w:p>
    <w:p>
      <w:pPr>
        <w:shd w:val="clear" w:fill="F2F2F2"/>
        <w:spacing w:after="0" w:before="0"/>
        <w:ind w:left="283"/>
      </w:pPr>
      <w:r>
        <w:rPr>
          <w:rFonts w:ascii="Courier New" w:hAnsi="Courier New"/>
          <w:color w:val="404040"/>
          <w:sz w:val="18"/>
        </w:rPr>
        <w:t>- name: Extract SCADE signals</w:t>
      </w:r>
    </w:p>
    <w:p>
      <w:pPr>
        <w:shd w:val="clear" w:fill="F2F2F2"/>
        <w:spacing w:after="0" w:before="0"/>
        <w:ind w:left="283"/>
      </w:pPr>
      <w:r>
        <w:rPr>
          <w:rFonts w:ascii="Courier New" w:hAnsi="Courier New"/>
          <w:color w:val="404040"/>
          <w:sz w:val="18"/>
        </w:rPr>
        <w:t xml:space="preserve">  run: |</w:t>
      </w:r>
    </w:p>
    <w:p>
      <w:pPr>
        <w:shd w:val="clear" w:fill="F2F2F2"/>
        <w:spacing w:after="0" w:before="0"/>
        <w:ind w:left="283"/>
      </w:pPr>
      <w:r>
        <w:rPr>
          <w:rFonts w:ascii="Courier New" w:hAnsi="Courier New"/>
          <w:color w:val="404040"/>
          <w:sz w:val="18"/>
        </w:rPr>
        <w:t xml:space="preserve">    pip install openpyxl defusedxml</w:t>
      </w:r>
    </w:p>
    <w:p>
      <w:pPr>
        <w:shd w:val="clear" w:fill="F2F2F2"/>
        <w:spacing w:after="0" w:before="0"/>
        <w:ind w:left="283"/>
      </w:pPr>
      <w:r>
        <w:rPr>
          <w:rFonts w:ascii="Courier New" w:hAnsi="Courier New"/>
          <w:color w:val="404040"/>
          <w:sz w:val="18"/>
        </w:rPr>
        <w:t xml:space="preserve">    python scade_parser.py ${{ github.workspace }}/models/ \</w:t>
      </w:r>
    </w:p>
    <w:p>
      <w:pPr>
        <w:shd w:val="clear" w:fill="F2F2F2"/>
        <w:spacing w:after="0" w:before="0"/>
        <w:ind w:left="283"/>
      </w:pPr>
      <w:r>
        <w:rPr>
          <w:rFonts w:ascii="Courier New" w:hAnsi="Courier New"/>
          <w:color w:val="404040"/>
          <w:sz w:val="18"/>
        </w:rPr>
        <w:t xml:space="preserve">      --output signals_${{ github.sha }}.xlsx</w:t>
      </w:r>
    </w:p>
    <w:p>
      <w:pPr>
        <w:shd w:val="clear" w:fill="F2F2F2"/>
        <w:spacing w:after="0" w:before="0"/>
        <w:ind w:left="283"/>
      </w:pPr>
      <w:r>
        <w:rPr>
          <w:rFonts w:ascii="Courier New" w:hAnsi="Courier New"/>
          <w:color w:val="404040"/>
          <w:sz w:val="18"/>
        </w:rPr>
        <w:t>- uses: actions/upload-artifact@v4</w:t>
      </w:r>
    </w:p>
    <w:p>
      <w:pPr>
        <w:shd w:val="clear" w:fill="F2F2F2"/>
        <w:spacing w:after="0" w:before="0"/>
        <w:ind w:left="283"/>
      </w:pPr>
      <w:r>
        <w:rPr>
          <w:rFonts w:ascii="Courier New" w:hAnsi="Courier New"/>
          <w:color w:val="404040"/>
          <w:sz w:val="18"/>
        </w:rPr>
        <w:t xml:space="preserve">  with:</w:t>
      </w:r>
    </w:p>
    <w:p>
      <w:pPr>
        <w:shd w:val="clear" w:fill="F2F2F2"/>
        <w:spacing w:after="0" w:before="0"/>
        <w:ind w:left="283"/>
      </w:pPr>
      <w:r>
        <w:rPr>
          <w:rFonts w:ascii="Courier New" w:hAnsi="Courier New"/>
          <w:color w:val="404040"/>
          <w:sz w:val="18"/>
        </w:rPr>
        <w:t xml:space="preserve">    name: scade-signals</w:t>
      </w:r>
    </w:p>
    <w:p>
      <w:pPr>
        <w:shd w:val="clear" w:fill="F2F2F2"/>
        <w:spacing w:after="0" w:before="0"/>
        <w:ind w:left="283"/>
      </w:pPr>
      <w:r>
        <w:rPr>
          <w:rFonts w:ascii="Courier New" w:hAnsi="Courier New"/>
          <w:color w:val="404040"/>
          <w:sz w:val="18"/>
        </w:rPr>
        <w:t xml:space="preserve">    path: signals_*.xlsx</w:t>
      </w:r>
    </w:p>
    <w:p/>
    <w:p>
      <w:pPr>
        <w:pStyle w:val="Heading2"/>
      </w:pPr>
      <w:r>
        <w:rPr>
          <w:color w:val="2E75B6"/>
        </w:rPr>
        <w:t>7.3  Programmatic (Library) Use</w:t>
      </w:r>
    </w:p>
    <w:p>
      <w:pPr>
        <w:spacing w:after="120" w:before="0"/>
      </w:pPr>
      <w:r>
        <w:rPr>
          <w:b w:val="0"/>
          <w:sz w:val="22"/>
        </w:rPr>
        <w:t>parse_path() and ScadeModelParser can be imported and used as a library without going through the CLI:</w:t>
      </w:r>
    </w:p>
    <w:p>
      <w:pPr>
        <w:shd w:val="clear" w:fill="F2F2F2"/>
        <w:spacing w:after="0" w:before="0"/>
        <w:ind w:left="283"/>
      </w:pPr>
      <w:r>
        <w:rPr>
          <w:rFonts w:ascii="Courier New" w:hAnsi="Courier New"/>
          <w:color w:val="404040"/>
          <w:sz w:val="18"/>
        </w:rPr>
        <w:t>from scade_parser import parse_path, write_excel</w:t>
      </w:r>
    </w:p>
    <w:p>
      <w:pPr>
        <w:shd w:val="clear" w:fill="F2F2F2"/>
        <w:spacing w:after="0" w:before="0"/>
        <w:ind w:left="283"/>
      </w:pPr>
      <w:r>
        <w:rPr>
          <w:rFonts w:ascii="Courier New" w:hAnsi="Courier New"/>
          <w:color w:val="404040"/>
          <w:sz w:val="18"/>
        </w:rPr>
        <w:t>from pathlib import Path</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inputs, outputs, calibrations = parse_path(Path('./models'))</w:t>
      </w:r>
    </w:p>
    <w:p>
      <w:pPr>
        <w:shd w:val="clear" w:fill="F2F2F2"/>
        <w:spacing w:after="0" w:before="0"/>
        <w:ind w:left="283"/>
      </w:pPr>
      <w:r>
        <w:rPr>
          <w:rFonts w:ascii="Courier New" w:hAnsi="Courier New"/>
          <w:color w:val="404040"/>
          <w:sz w:val="18"/>
        </w:rPr>
        <w:t># Post-process records as needed ...</w:t>
      </w:r>
    </w:p>
    <w:p>
      <w:pPr>
        <w:shd w:val="clear" w:fill="F2F2F2"/>
        <w:spacing w:after="0" w:before="0"/>
        <w:ind w:left="283"/>
      </w:pPr>
      <w:r>
        <w:rPr>
          <w:rFonts w:ascii="Courier New" w:hAnsi="Courier New"/>
          <w:color w:val="404040"/>
          <w:sz w:val="18"/>
        </w:rPr>
        <w:t>write_excel(inputs, outputs, calibrations, Path('out.xlsx'))</w:t>
      </w:r>
    </w:p>
    <w:p/>
    <w:p>
      <w:pPr>
        <w:pStyle w:val="Heading2"/>
      </w:pPr>
      <w:r>
        <w:rPr>
          <w:color w:val="2E75B6"/>
        </w:rPr>
        <w:t>7.4  Supported Platforms</w:t>
      </w:r>
    </w:p>
    <w:tbl>
      <w:tblPr>
        <w:tblStyle w:val="TableGrid"/>
        <w:tblW w:type="auto" w:w="0"/>
        <w:tblLook w:firstColumn="1" w:firstRow="1" w:lastColumn="0" w:lastRow="0" w:noHBand="0" w:noVBand="1" w:val="04A0"/>
      </w:tblPr>
      <w:tblGrid>
        <w:gridCol w:w="2928"/>
        <w:gridCol w:w="2928"/>
        <w:gridCol w:w="2928"/>
      </w:tblGrid>
      <w:tr>
        <w:tc>
          <w:tcPr>
            <w:tcW w:type="dxa" w:w="226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Platform</w:t>
            </w:r>
          </w:p>
        </w:tc>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Status</w:t>
            </w:r>
          </w:p>
        </w:tc>
        <w:tc>
          <w:tcPr>
            <w:tcW w:type="dxa" w:w="481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Notes</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Windows 10/11</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Supported</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Default line endings handled by Python; .scade files on network drives supported.</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macOS 12+</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Supported</w:t>
            </w:r>
          </w:p>
        </w:tc>
        <w:tc>
          <w:tcPr>
            <w:tcW w:type="dxa" w:w="4819"/>
            <w:tcBorders>
              <w:top w:val="single" w:sz="4" w:space="0" w:color="CCCCCC"/>
              <w:left w:val="single" w:sz="4" w:space="0" w:color="CCCCCC"/>
              <w:bottom w:val="single" w:sz="4" w:space="0" w:color="CCCCCC"/>
              <w:right w:val="single" w:sz="4" w:space="0" w:color="CCCCCC"/>
            </w:tcBorders>
            <w:vAlign w:val="center"/>
          </w:tcPr>
          <w:p>
            <w:r>
              <w:rPr>
                <w:sz w:val="20"/>
              </w:rPr>
              <w:t>No known platform-specific issues.</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Linux (Ubuntu 20+)</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Supported</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Primary development and CI target.</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Python 3.10</w:t>
            </w:r>
          </w:p>
        </w:tc>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Minimum</w:t>
            </w:r>
          </w:p>
        </w:tc>
        <w:tc>
          <w:tcPr>
            <w:tcW w:type="dxa" w:w="4819"/>
            <w:tcBorders>
              <w:top w:val="single" w:sz="4" w:space="0" w:color="CCCCCC"/>
              <w:left w:val="single" w:sz="4" w:space="0" w:color="CCCCCC"/>
              <w:bottom w:val="single" w:sz="4" w:space="0" w:color="CCCCCC"/>
              <w:right w:val="single" w:sz="4" w:space="0" w:color="CCCCCC"/>
            </w:tcBorders>
            <w:vAlign w:val="center"/>
          </w:tcPr>
          <w:p>
            <w:r>
              <w:rPr>
                <w:sz w:val="20"/>
              </w:rPr>
              <w:t>Uses type hint syntax (list[dict]) requiring 3.10+.</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Python 3.12</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Tested</w:t>
            </w:r>
          </w:p>
        </w:tc>
        <w:tc>
          <w:tcPr>
            <w:tcW w:type="dxa" w:w="481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All features verified on CPython 3.12.</w:t>
            </w:r>
          </w:p>
        </w:tc>
      </w:tr>
    </w:tbl>
    <w:p>
      <w:r>
        <w:br w:type="page"/>
      </w:r>
    </w:p>
    <w:p>
      <w:pPr>
        <w:pStyle w:val="Heading1"/>
      </w:pPr>
      <w:r>
        <w:rPr>
          <w:color w:val="1F4E79"/>
        </w:rPr>
        <w:t>8  Revision History</w:t>
      </w:r>
    </w:p>
    <w:tbl>
      <w:tblPr>
        <w:tblStyle w:val="TableGrid"/>
        <w:tblW w:type="auto" w:w="0"/>
        <w:tblLook w:firstColumn="1" w:firstRow="1" w:lastColumn="0" w:lastRow="0" w:noHBand="0" w:noVBand="1" w:val="04A0"/>
      </w:tblPr>
      <w:tblGrid>
        <w:gridCol w:w="2196"/>
        <w:gridCol w:w="2196"/>
        <w:gridCol w:w="2196"/>
        <w:gridCol w:w="2196"/>
      </w:tblGrid>
      <w:tr>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Version</w:t>
            </w:r>
          </w:p>
        </w:tc>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Date</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Author</w:t>
            </w:r>
          </w:p>
        </w:tc>
        <w:tc>
          <w:tcPr>
            <w:tcW w:type="dxa" w:w="396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Summary</w:t>
            </w:r>
          </w:p>
        </w:tc>
      </w:tr>
      <w:tr>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1.0</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May 2026</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Engineering Team</w:t>
            </w:r>
          </w:p>
        </w:tc>
        <w:tc>
          <w:tcPr>
            <w:tcW w:type="dxa" w:w="396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Initial release.</w:t>
            </w:r>
          </w:p>
        </w:tc>
      </w:tr>
    </w:tbl>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SCADE Model Parser  |  Architecture Document  |  Page </w:t>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