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4E79"/>
          <w:sz w:val="40"/>
          <w:szCs w:val="40"/>
        </w:rPr>
        <w:t xml:space="preserve">Unit Testing Plan</w:t>
      </w:r>
    </w:p>
    <w:p>
      <w:pPr>
        <w:spacing w:after="80"/>
      </w:pPr>
      <w:r>
        <w:rPr>
          <w:rFonts w:ascii="Arial" w:cs="Arial" w:eastAsia="Arial" w:hAnsi="Arial"/>
          <w:color w:val="444444"/>
          <w:sz w:val="22"/>
          <w:szCs w:val="22"/>
        </w:rPr>
        <w:t xml:space="preserve">Project: IVR &amp; AI Integration Platform</w:t>
      </w:r>
    </w:p>
    <w:p>
      <w:pPr>
        <w:spacing w:after="80"/>
      </w:pPr>
      <w:r>
        <w:rPr>
          <w:rFonts w:ascii="Arial" w:cs="Arial" w:eastAsia="Arial" w:hAnsi="Arial"/>
          <w:color w:val="444444"/>
          <w:sz w:val="22"/>
          <w:szCs w:val="22"/>
        </w:rPr>
        <w:t xml:space="preserve">Prepared by: Pavanateja</w:t>
      </w:r>
    </w:p>
    <w:p>
      <w:pPr>
        <w:spacing w:after="80"/>
      </w:pPr>
      <w:r>
        <w:rPr>
          <w:rFonts w:ascii="Arial" w:cs="Arial" w:eastAsia="Arial" w:hAnsi="Arial"/>
          <w:color w:val="444444"/>
          <w:sz w:val="22"/>
          <w:szCs w:val="22"/>
        </w:rPr>
        <w:t xml:space="preserve">Sprint: Sprint 1</w:t>
      </w:r>
    </w:p>
    <w:p>
      <w:pPr>
        <w:pBdr>
          <w:bottom w:val="single" w:color="CCCCCC" w:sz="4" w:space="1"/>
        </w:pBdr>
        <w:spacing w:after="320"/>
      </w:pPr>
      <w:r>
        <w:rPr>
          <w:rFonts w:ascii="Arial" w:cs="Arial" w:eastAsia="Arial" w:hAnsi="Arial"/>
          <w:color w:val="444444"/>
          <w:sz w:val="22"/>
          <w:szCs w:val="22"/>
        </w:rPr>
        <w:t xml:space="preserve">Total Test Cases: 8</w:t>
      </w:r>
    </w:p>
    <w:p>
      <w:pPr>
        <w:pStyle w:val="Heading2"/>
      </w:pPr>
      <w:r>
        <w:rPr>
          <w:rFonts w:ascii="Arial" w:cs="Arial" w:eastAsia="Arial" w:hAnsi="Arial"/>
          <w:b/>
          <w:bCs/>
          <w:color w:val="2E75B6"/>
          <w:sz w:val="26"/>
          <w:szCs w:val="26"/>
        </w:rPr>
        <w:t xml:space="preserve">1. Purpose</w:t>
      </w:r>
    </w:p>
    <w:p>
      <w:pPr>
        <w:spacing w:after="200"/>
      </w:pPr>
      <w:r>
        <w:rPr>
          <w:rFonts w:ascii="Arial" w:cs="Arial" w:eastAsia="Arial" w:hAnsi="Arial"/>
          <w:sz w:val="22"/>
          <w:szCs w:val="22"/>
        </w:rPr>
        <w:t xml:space="preserve">This document outlines the unit testing plan for the IVR and AI Integration project. It defines individual test cases covering architecture analysis, requirement mapping, API handling, speech recognition, conversation flow, and end-to-end system validation.</w:t>
      </w:r>
    </w:p>
    <w:p>
      <w:pPr>
        <w:pStyle w:val="Heading2"/>
      </w:pPr>
      <w:r>
        <w:rPr>
          <w:rFonts w:ascii="Arial" w:cs="Arial" w:eastAsia="Arial" w:hAnsi="Arial"/>
          <w:b/>
          <w:bCs/>
          <w:color w:val="2E75B6"/>
          <w:sz w:val="26"/>
          <w:szCs w:val="26"/>
        </w:rPr>
        <w:t xml:space="preserve">2. Scope</w:t>
      </w:r>
    </w:p>
    <w:p>
      <w:pPr>
        <w:spacing w:after="200"/>
      </w:pPr>
      <w:r>
        <w:rPr>
          <w:rFonts w:ascii="Arial" w:cs="Arial" w:eastAsia="Arial" w:hAnsi="Arial"/>
          <w:sz w:val="22"/>
          <w:szCs w:val="22"/>
        </w:rPr>
        <w:t xml:space="preserve">The unit tests cover the following functional areas: IVR architecture analysis, integration requirement mapping, API request/response handling, error handling, speech recognition, conversational AI flow, and full end-to-end system behaviour.</w:t>
      </w:r>
    </w:p>
    <w:p>
      <w:pPr>
        <w:pStyle w:val="Heading2"/>
      </w:pPr>
      <w:r>
        <w:rPr>
          <w:rFonts w:ascii="Arial" w:cs="Arial" w:eastAsia="Arial" w:hAnsi="Arial"/>
          <w:b/>
          <w:bCs/>
          <w:color w:val="2E75B6"/>
          <w:sz w:val="26"/>
          <w:szCs w:val="26"/>
        </w:rPr>
        <w:t xml:space="preserve">3. Test Cases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1900"/>
        <w:gridCol w:w="1900"/>
        <w:gridCol w:w="1680"/>
        <w:gridCol w:w="1680"/>
      </w:tblGrid>
      <w:tr>
        <w:trPr>
          <w:tblHeader/>
        </w:trPr>
        <w:tc>
          <w:tcPr>
            <w:tcW w:type="dxa" w:w="600"/>
            <w:tcBorders>
              <w:top w:val="single" w:color="1F4E79" w:sz="1"/>
              <w:left w:val="single" w:color="1F4E79" w:sz="1"/>
              <w:bottom w:val="single" w:color="1F4E79" w:sz="1"/>
              <w:right w:val="single" w:color="1F4E79"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Sl. No</w:t>
            </w:r>
          </w:p>
        </w:tc>
        <w:tc>
          <w:tcPr>
            <w:tcW w:type="dxa" w:w="1600"/>
            <w:tcBorders>
              <w:top w:val="single" w:color="1F4E79" w:sz="1"/>
              <w:left w:val="single" w:color="1F4E79" w:sz="1"/>
              <w:bottom w:val="single" w:color="1F4E79" w:sz="1"/>
              <w:right w:val="single" w:color="1F4E79"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Test Case Name</w:t>
            </w:r>
          </w:p>
        </w:tc>
        <w:tc>
          <w:tcPr>
            <w:tcW w:type="dxa" w:w="1900"/>
            <w:tcBorders>
              <w:top w:val="single" w:color="1F4E79" w:sz="1"/>
              <w:left w:val="single" w:color="1F4E79" w:sz="1"/>
              <w:bottom w:val="single" w:color="1F4E79" w:sz="1"/>
              <w:right w:val="single" w:color="1F4E79"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Test Procedure</w:t>
            </w:r>
          </w:p>
        </w:tc>
        <w:tc>
          <w:tcPr>
            <w:tcW w:type="dxa" w:w="1900"/>
            <w:tcBorders>
              <w:top w:val="single" w:color="1F4E79" w:sz="1"/>
              <w:left w:val="single" w:color="1F4E79" w:sz="1"/>
              <w:bottom w:val="single" w:color="1F4E79" w:sz="1"/>
              <w:right w:val="single" w:color="1F4E79"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Condition to be Tested</w:t>
            </w:r>
          </w:p>
        </w:tc>
        <w:tc>
          <w:tcPr>
            <w:tcW w:type="dxa" w:w="1680"/>
            <w:tcBorders>
              <w:top w:val="single" w:color="1F4E79" w:sz="1"/>
              <w:left w:val="single" w:color="1F4E79" w:sz="1"/>
              <w:bottom w:val="single" w:color="1F4E79" w:sz="1"/>
              <w:right w:val="single" w:color="1F4E79"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Expected Result</w:t>
            </w:r>
          </w:p>
        </w:tc>
        <w:tc>
          <w:tcPr>
            <w:tcW w:type="dxa" w:w="1680"/>
            <w:tcBorders>
              <w:top w:val="single" w:color="1F4E79" w:sz="1"/>
              <w:left w:val="single" w:color="1F4E79" w:sz="1"/>
              <w:bottom w:val="single" w:color="1F4E79" w:sz="1"/>
              <w:right w:val="single" w:color="1F4E79" w:sz="1"/>
            </w:tcBorders>
            <w:shd w:fill="1F4E79"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Actual Result</w:t>
            </w:r>
          </w:p>
        </w:tc>
      </w:tr>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1</w:t>
            </w:r>
          </w:p>
        </w:tc>
        <w:tc>
          <w:tcPr>
            <w:tcW w:type="dxa" w:w="1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IVR Architecture Analysis Test</w:t>
            </w:r>
          </w:p>
        </w:tc>
        <w:tc>
          <w:tcPr>
            <w:tcW w:type="dxa" w:w="19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Review VXML IVR structure and documentation</w:t>
            </w:r>
          </w:p>
        </w:tc>
        <w:tc>
          <w:tcPr>
            <w:tcW w:type="dxa" w:w="19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Check if IVR modules and call flow are correctly identified</w:t>
            </w:r>
          </w:p>
        </w:tc>
        <w:tc>
          <w:tcPr>
            <w:tcW w:type="dxa" w:w="168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System architecture documented properly</w:t>
            </w:r>
          </w:p>
        </w:tc>
        <w:tc>
          <w:tcPr>
            <w:tcW w:type="dxa" w:w="168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Architecture documented successfully</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2</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Requirement Mapping Test</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Validate integration requirements for IVR and AI platform</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Check correctness of requirement mapping</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Requirements aligned with system architecture</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Mapping verified correctly</w:t>
            </w:r>
          </w:p>
        </w:tc>
      </w:tr>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3</w:t>
            </w:r>
          </w:p>
        </w:tc>
        <w:tc>
          <w:tcPr>
            <w:tcW w:type="dxa" w:w="1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API Request Handling</w:t>
            </w:r>
          </w:p>
        </w:tc>
        <w:tc>
          <w:tcPr>
            <w:tcW w:type="dxa" w:w="19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Send request from IVR to middleware API</w:t>
            </w:r>
          </w:p>
        </w:tc>
        <w:tc>
          <w:tcPr>
            <w:tcW w:type="dxa" w:w="19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Check if API receives request properly</w:t>
            </w:r>
          </w:p>
        </w:tc>
        <w:tc>
          <w:tcPr>
            <w:tcW w:type="dxa" w:w="168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Request successfully received by middleware</w:t>
            </w:r>
          </w:p>
        </w:tc>
        <w:tc>
          <w:tcPr>
            <w:tcW w:type="dxa" w:w="168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Working as expected</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4</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API Response Validation Test</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Trigger response from middleware to IVR</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Check if correct response is returned</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Accurate response delivered to IVR</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Response validated successfully</w:t>
            </w:r>
          </w:p>
        </w:tc>
      </w:tr>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5</w:t>
            </w:r>
          </w:p>
        </w:tc>
        <w:tc>
          <w:tcPr>
            <w:tcW w:type="dxa" w:w="1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Error Handling Test</w:t>
            </w:r>
          </w:p>
        </w:tc>
        <w:tc>
          <w:tcPr>
            <w:tcW w:type="dxa" w:w="19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Provide invalid input to API</w:t>
            </w:r>
          </w:p>
        </w:tc>
        <w:tc>
          <w:tcPr>
            <w:tcW w:type="dxa" w:w="19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Check system behavior for incorrect input</w:t>
            </w:r>
          </w:p>
        </w:tc>
        <w:tc>
          <w:tcPr>
            <w:tcW w:type="dxa" w:w="168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System returns proper error message</w:t>
            </w:r>
          </w:p>
        </w:tc>
        <w:tc>
          <w:tcPr>
            <w:tcW w:type="dxa" w:w="168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Error handled correctly</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6</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Speech Recognition Test</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Provide voice input to system</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Check if speech is converted into text</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Voice input processed correctly</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Speech recognition working</w:t>
            </w:r>
          </w:p>
        </w:tc>
      </w:tr>
      <w:tr>
        <w:tc>
          <w:tcPr>
            <w:tcW w:type="dxa" w:w="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7</w:t>
            </w:r>
          </w:p>
        </w:tc>
        <w:tc>
          <w:tcPr>
            <w:tcW w:type="dxa" w:w="16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Conversation Flow Test</w:t>
            </w:r>
          </w:p>
        </w:tc>
        <w:tc>
          <w:tcPr>
            <w:tcW w:type="dxa" w:w="19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Trigger conversational AI response</w:t>
            </w:r>
          </w:p>
        </w:tc>
        <w:tc>
          <w:tcPr>
            <w:tcW w:type="dxa" w:w="190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Check if correct dialogue response is generated</w:t>
            </w:r>
          </w:p>
        </w:tc>
        <w:tc>
          <w:tcPr>
            <w:tcW w:type="dxa" w:w="168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Accurate conversational output</w:t>
            </w:r>
          </w:p>
        </w:tc>
        <w:tc>
          <w:tcPr>
            <w:tcW w:type="dxa" w:w="1680"/>
            <w:tcBorders>
              <w:top w:val="single" w:color="CCCCCC" w:sz="1"/>
              <w:left w:val="single" w:color="CCCCCC" w:sz="1"/>
              <w:bottom w:val="single" w:color="CCCCCC" w:sz="1"/>
              <w:right w:val="single" w:color="CCCCCC" w:sz="1"/>
            </w:tcBorders>
            <w:shd w:fill="EBF3FB" w:val="clear"/>
            <w:tcMar>
              <w:top w:type="dxa" w:w="100"/>
              <w:left w:type="dxa" w:w="140"/>
              <w:bottom w:type="dxa" w:w="100"/>
              <w:right w:type="dxa" w:w="140"/>
            </w:tcMar>
          </w:tcPr>
          <w:p>
            <w:r>
              <w:rPr>
                <w:rFonts w:ascii="Arial" w:cs="Arial" w:eastAsia="Arial" w:hAnsi="Arial"/>
                <w:sz w:val="20"/>
                <w:szCs w:val="20"/>
              </w:rPr>
              <w:t xml:space="preserve">Flow working correctly</w:t>
            </w:r>
          </w:p>
        </w:tc>
      </w:tr>
      <w:tr>
        <w:tc>
          <w:tcPr>
            <w:tcW w:type="dxa" w:w="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8</w:t>
            </w:r>
          </w:p>
        </w:tc>
        <w:tc>
          <w:tcPr>
            <w:tcW w:type="dxa" w:w="16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End-to-End System Test</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Execute complete IVR interaction flow</w:t>
            </w:r>
          </w:p>
        </w:tc>
        <w:tc>
          <w:tcPr>
            <w:tcW w:type="dxa" w:w="190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Check full system integration</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System performs end-to-end operation successfully</w:t>
            </w:r>
          </w:p>
        </w:tc>
        <w:tc>
          <w:tcPr>
            <w:tcW w:type="dxa" w:w="1680"/>
            <w:tcBorders>
              <w:top w:val="single" w:color="CCCCCC" w:sz="1"/>
              <w:left w:val="single" w:color="CCCCCC" w:sz="1"/>
              <w:bottom w:val="single" w:color="CCCCCC" w:sz="1"/>
              <w:right w:val="single" w:color="CCCCCC" w:sz="1"/>
            </w:tcBorders>
            <w:shd w:fill="FFFFFF" w:val="clear"/>
            <w:tcMar>
              <w:top w:type="dxa" w:w="100"/>
              <w:left w:type="dxa" w:w="140"/>
              <w:bottom w:type="dxa" w:w="100"/>
              <w:right w:type="dxa" w:w="140"/>
            </w:tcMar>
          </w:tcPr>
          <w:p>
            <w:r>
              <w:rPr>
                <w:rFonts w:ascii="Arial" w:cs="Arial" w:eastAsia="Arial" w:hAnsi="Arial"/>
                <w:sz w:val="20"/>
                <w:szCs w:val="20"/>
              </w:rPr>
              <w:t xml:space="preserve">System working as expected</w:t>
            </w:r>
          </w:p>
        </w:tc>
      </w:tr>
    </w:tbl>
    <w:p>
      <w:pPr>
        <w:pStyle w:val="Heading2"/>
        <w:spacing w:before="320"/>
      </w:pPr>
      <w:r>
        <w:rPr>
          <w:rFonts w:ascii="Arial" w:cs="Arial" w:eastAsia="Arial" w:hAnsi="Arial"/>
          <w:b/>
          <w:bCs/>
          <w:color w:val="2E75B6"/>
          <w:sz w:val="26"/>
          <w:szCs w:val="26"/>
        </w:rPr>
        <w:t xml:space="preserve">4. Summary</w:t>
      </w:r>
    </w:p>
    <w:p>
      <w:pPr>
        <w:spacing w:after="100"/>
      </w:pPr>
      <w:r>
        <w:rPr>
          <w:rFonts w:ascii="Arial" w:cs="Arial" w:eastAsia="Arial" w:hAnsi="Arial"/>
          <w:b/>
          <w:bCs/>
          <w:sz w:val="22"/>
          <w:szCs w:val="22"/>
        </w:rPr>
        <w:t xml:space="preserve">Total Test Cases Executed: </w:t>
      </w:r>
      <w:r>
        <w:rPr>
          <w:rFonts w:ascii="Arial" w:cs="Arial" w:eastAsia="Arial" w:hAnsi="Arial"/>
          <w:sz w:val="22"/>
          <w:szCs w:val="22"/>
        </w:rPr>
        <w:t xml:space="preserve">8</w:t>
      </w:r>
    </w:p>
    <w:p>
      <w:pPr>
        <w:spacing w:after="100"/>
      </w:pPr>
      <w:r>
        <w:rPr>
          <w:rFonts w:ascii="Arial" w:cs="Arial" w:eastAsia="Arial" w:hAnsi="Arial"/>
          <w:b/>
          <w:bCs/>
          <w:sz w:val="22"/>
          <w:szCs w:val="22"/>
        </w:rPr>
        <w:t xml:space="preserve">All Passed: </w:t>
      </w:r>
      <w:r>
        <w:rPr>
          <w:rFonts w:ascii="Arial" w:cs="Arial" w:eastAsia="Arial" w:hAnsi="Arial"/>
          <w:sz w:val="22"/>
          <w:szCs w:val="22"/>
        </w:rPr>
        <w:t xml:space="preserve">8</w:t>
      </w:r>
    </w:p>
    <w:p>
      <w:pPr>
        <w:spacing w:after="100"/>
      </w:pPr>
      <w:r>
        <w:rPr>
          <w:rFonts w:ascii="Arial" w:cs="Arial" w:eastAsia="Arial" w:hAnsi="Arial"/>
          <w:b/>
          <w:bCs/>
          <w:sz w:val="22"/>
          <w:szCs w:val="22"/>
        </w:rPr>
        <w:t xml:space="preserve">Failed: </w:t>
      </w:r>
      <w:r>
        <w:rPr>
          <w:rFonts w:ascii="Arial" w:cs="Arial" w:eastAsia="Arial" w:hAnsi="Arial"/>
          <w:sz w:val="22"/>
          <w:szCs w:val="22"/>
        </w:rPr>
        <w:t xml:space="preserve">0</w:t>
      </w:r>
    </w:p>
    <w:p>
      <w:pPr>
        <w:spacing w:after="100"/>
      </w:pPr>
      <w:r>
        <w:rPr>
          <w:rFonts w:ascii="Arial" w:cs="Arial" w:eastAsia="Arial" w:hAnsi="Arial"/>
          <w:b/>
          <w:bCs/>
          <w:sz w:val="22"/>
          <w:szCs w:val="22"/>
        </w:rPr>
        <w:t xml:space="preserve">Result: </w:t>
      </w:r>
      <w:r>
        <w:rPr>
          <w:rFonts w:ascii="Arial" w:cs="Arial" w:eastAsia="Arial" w:hAnsi="Arial"/>
          <w:sz w:val="22"/>
          <w:szCs w:val="22"/>
        </w:rPr>
        <w:t xml:space="preserve">All test cases executed successfully with no failures recorded.</w:t>
      </w:r>
    </w:p>
    <w:sectPr>
      <w:headerReference w:type="default" r:id="rId6"/>
      <w:footerReference w:type="default" r:id="rId7"/>
      <w:pgSz w:w="15840" w:h="122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6" w:space="1"/>
      </w:pBd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tabs>
        <w:tab w:val="right" w:pos="13680"/>
      </w:tabs>
    </w:pPr>
    <w:r>
      <w:rPr>
        <w:rFonts w:ascii="Arial" w:cs="Arial" w:eastAsia="Arial" w:hAnsi="Arial"/>
        <w:b/>
        <w:bCs/>
        <w:color w:val="1F4E79"/>
        <w:sz w:val="20"/>
        <w:szCs w:val="20"/>
      </w:rPr>
      <w:t xml:space="preserve">Unit Testing Plan  |  IVR &amp; AI Integration Project</w:t>
    </w:r>
    <w:r>
      <w:rPr>
        <w:rFonts w:ascii="Arial" w:cs="Arial" w:eastAsia="Arial" w:hAnsi="Arial"/>
        <w:color w:val="666666"/>
        <w:sz w:val="20"/>
        <w:szCs w:val="20"/>
      </w:rPr>
      <w:t xml:space="preserve">		Pavanateja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2026-03-28T06:02:56.711Z</dcterms:created>
  <dcterms:modified xsi:type="dcterms:W3CDTF">2026-03-28T06:02:56.711Z</dcterms:modified>
</cp:coreProperties>
</file>

<file path=docProps/custom.xml><?xml version="1.0" encoding="utf-8"?>
<Properties xmlns="http://schemas.openxmlformats.org/officeDocument/2006/custom-properties" xmlns:vt="http://schemas.openxmlformats.org/officeDocument/2006/docPropsVTypes"/>
</file>