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Heart Disease Prediction</w:t>
      </w:r>
    </w:p>
    <w:p>
      <w:pPr>
        <w:pStyle w:val="Subtitle"/>
      </w:pPr>
      <w:r>
        <w:t xml:space="preserve">Binary Classification Using Clinical Parameters</w:t>
      </w:r>
    </w:p>
    <w:p>
      <w:pPr>
        <w:pStyle w:val="Heading1"/>
      </w:pPr>
      <w:r>
        <w:t xml:space="preserve">Introduction</w:t>
      </w:r>
    </w:p>
    <w:p>
      <w:pPr>
        <w:spacing w:after="160"/>
      </w:pPr>
      <w:r>
        <w:rPr>
          <w:b w:val="false"/>
          <w:bCs w:val="false"/>
          <w:i w:val="false"/>
          <w:iCs w:val="false"/>
          <w:sz w:val="22"/>
          <w:szCs w:val="22"/>
        </w:rPr>
        <w:t xml:space="preserve">Cardiovascular diseases are a leading cause of death worldwide. Early prediction of heart disease based on clinical parameters can significantly improve patient outcomes.</w:t>
      </w:r>
    </w:p>
    <w:p>
      <w:pPr>
        <w:pStyle w:val="Heading2"/>
      </w:pPr>
      <w:r>
        <w:t xml:space="preserve">Dataset</w:t>
      </w:r>
    </w:p>
    <w:p>
      <w:pPr>
        <w:spacing w:after="160"/>
      </w:pPr>
      <w:r>
        <w:rPr>
          <w:b w:val="false"/>
          <w:bCs w:val="false"/>
          <w:i w:val="false"/>
          <w:iCs w:val="false"/>
          <w:sz w:val="22"/>
          <w:szCs w:val="22"/>
        </w:rPr>
        <w:t xml:space="preserve">The dataset, heart.csv, comes from the UCI Heart Disease dataset (available on Kaggle). It contains 303 observations and 14 attributes, including: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8B1A2B" w:val="clear"/>
            <w:tcMar>
              <w:top w:type="dxa" w:w="80"/>
              <w:left w:type="dxa" w:w="120"/>
              <w:bottom w:type="dxa" w:w="80"/>
              <w:right w:type="dxa" w:w="120"/>
            </w:tcMar>
            <w:vAlign w:val="center"/>
          </w:tcPr>
          <w:p>
            <w:r>
              <w:rPr>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8B1A2B" w:val="clear"/>
            <w:tcMar>
              <w:top w:type="dxa" w:w="80"/>
              <w:left w:type="dxa" w:w="120"/>
              <w:bottom w:type="dxa" w:w="80"/>
              <w:right w:type="dxa" w:w="120"/>
            </w:tcMar>
            <w:vAlign w:val="center"/>
          </w:tcPr>
          <w:p>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Age of the patient in years</w:t>
            </w:r>
          </w:p>
        </w:tc>
      </w:tr>
      <w:tr>
        <w:tc>
          <w:tcPr>
            <w:tcW w:type="dxa" w:w="250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bCs/>
                <w:sz w:val="20"/>
                <w:szCs w:val="20"/>
              </w:rPr>
              <w:t xml:space="preserve">sex</w:t>
            </w:r>
          </w:p>
        </w:tc>
        <w:tc>
          <w:tcPr>
            <w:tcW w:type="dxa" w:w="686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val="false"/>
                <w:bCs w:val="false"/>
                <w:sz w:val="20"/>
                <w:szCs w:val="20"/>
              </w:rPr>
              <w:t xml:space="preserve">Sex (1 = male, 0 = female)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Chest pain type</w:t>
            </w:r>
          </w:p>
        </w:tc>
      </w:tr>
      <w:tr>
        <w:tc>
          <w:tcPr>
            <w:tcW w:type="dxa" w:w="250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bCs/>
                <w:sz w:val="20"/>
                <w:szCs w:val="20"/>
              </w:rPr>
              <w:t xml:space="preserve">trestbps</w:t>
            </w:r>
          </w:p>
        </w:tc>
        <w:tc>
          <w:tcPr>
            <w:tcW w:type="dxa" w:w="686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val="false"/>
                <w:bCs w:val="false"/>
                <w:sz w:val="20"/>
                <w:szCs w:val="20"/>
              </w:rPr>
              <w:t xml:space="preserve">Resting blood pressure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chol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Serum cholesterol (mg/dl)</w:t>
            </w:r>
          </w:p>
        </w:tc>
      </w:tr>
      <w:tr>
        <w:tc>
          <w:tcPr>
            <w:tcW w:type="dxa" w:w="250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bCs/>
                <w:sz w:val="20"/>
                <w:szCs w:val="20"/>
              </w:rPr>
              <w:t xml:space="preserve">thalach</w:t>
            </w:r>
          </w:p>
        </w:tc>
        <w:tc>
          <w:tcPr>
            <w:tcW w:type="dxa" w:w="6860"/>
            <w:tcBorders>
              <w:top w:val="single" w:color="CCCCCC" w:sz="1"/>
              <w:left w:val="single" w:color="CCCCCC" w:sz="1"/>
              <w:bottom w:val="single" w:color="CCCCCC" w:sz="1"/>
              <w:right w:val="single" w:color="CCCCCC" w:sz="1"/>
            </w:tcBorders>
            <w:shd w:fill="F7EFEF" w:val="clear"/>
            <w:tcMar>
              <w:top w:type="dxa" w:w="80"/>
              <w:left w:type="dxa" w:w="120"/>
              <w:bottom w:type="dxa" w:w="80"/>
              <w:right w:type="dxa" w:w="120"/>
            </w:tcMar>
            <w:vAlign w:val="center"/>
          </w:tcPr>
          <w:p>
            <w:r>
              <w:rPr>
                <w:b w:val="false"/>
                <w:bCs w:val="false"/>
                <w:sz w:val="20"/>
                <w:szCs w:val="20"/>
              </w:rPr>
              <w:t xml:space="preserve">Maximum heart rate achieved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20"/>
                <w:szCs w:val="20"/>
              </w:rPr>
              <w:t xml:space="preserve">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20"/>
                <w:szCs w:val="20"/>
              </w:rPr>
              <w:t xml:space="preserve">Outcome (0 = no heart disease, 1 = heart disease) — the binary target variable</w:t>
            </w:r>
          </w:p>
        </w:tc>
      </w:tr>
    </w:tbl>
    <w:p>
      <w:pPr>
        <w:pStyle w:val="Heading2"/>
      </w:pPr>
      <w:r>
        <w:t xml:space="preserve">Goal</w:t>
      </w:r>
    </w:p>
    <w:p>
      <w:pPr>
        <w:spacing w:after="160"/>
      </w:pPr>
      <w:r>
        <w:rPr>
          <w:b w:val="false"/>
          <w:bCs w:val="false"/>
          <w:i w:val="false"/>
          <w:iCs w:val="false"/>
          <w:sz w:val="22"/>
          <w:szCs w:val="22"/>
        </w:rPr>
        <w:t xml:space="preserve">Build and compare three classification models — Logistic Regression, K-Nearest Neighbors, and Random Forest — to predict the presence of heart disease. The analysis pipeline includes:</w:t>
      </w:r>
    </w:p>
    <w:p>
      <w:pPr>
        <w:pStyle w:val="ListParagraph"/>
        <w:numPr>
          <w:ilvl w:val="0"/>
          <w:numId w:val="2"/>
        </w:numPr>
        <w:spacing w:after="60"/>
      </w:pPr>
      <w:r>
        <w:rPr>
          <w:sz w:val="22"/>
          <w:szCs w:val="22"/>
        </w:rPr>
        <w:t xml:space="preserve">Exploratory data analysis (histograms and boxplots)</w:t>
      </w:r>
    </w:p>
    <w:p>
      <w:pPr>
        <w:pStyle w:val="ListParagraph"/>
        <w:numPr>
          <w:ilvl w:val="0"/>
          <w:numId w:val="2"/>
        </w:numPr>
        <w:spacing w:after="60"/>
      </w:pPr>
      <w:r>
        <w:rPr>
          <w:sz w:val="22"/>
          <w:szCs w:val="22"/>
        </w:rPr>
        <w:t xml:space="preserve">Outlier treatment using IQR capping</w:t>
      </w:r>
    </w:p>
    <w:p>
      <w:pPr>
        <w:pStyle w:val="ListParagraph"/>
        <w:numPr>
          <w:ilvl w:val="0"/>
          <w:numId w:val="2"/>
        </w:numPr>
        <w:spacing w:after="60"/>
      </w:pPr>
      <w:r>
        <w:rPr>
          <w:sz w:val="22"/>
          <w:szCs w:val="22"/>
        </w:rPr>
        <w:t xml:space="preserve">Train/test split and standardization</w:t>
      </w:r>
    </w:p>
    <w:p>
      <w:pPr>
        <w:pStyle w:val="ListParagraph"/>
        <w:numPr>
          <w:ilvl w:val="0"/>
          <w:numId w:val="2"/>
        </w:numPr>
        <w:spacing w:after="60"/>
      </w:pPr>
      <w:r>
        <w:rPr>
          <w:sz w:val="22"/>
          <w:szCs w:val="22"/>
        </w:rPr>
        <w:t xml:space="preserve">Hyperparameter tuning via 5-fold cross-validation</w:t>
      </w:r>
    </w:p>
    <w:p>
      <w:pPr>
        <w:pStyle w:val="ListParagraph"/>
        <w:numPr>
          <w:ilvl w:val="0"/>
          <w:numId w:val="2"/>
        </w:numPr>
        <w:spacing w:after="60"/>
      </w:pPr>
      <w:r>
        <w:rPr>
          <w:sz w:val="22"/>
          <w:szCs w:val="22"/>
        </w:rPr>
        <w:t xml:space="preserve">ROC/AUC evaluation on the test set</w:t>
      </w:r>
    </w:p>
    <w:p>
      <w:pPr>
        <w:pStyle w:val="ListParagraph"/>
        <w:numPr>
          <w:ilvl w:val="0"/>
          <w:numId w:val="2"/>
        </w:numPr>
        <w:spacing w:after="60"/>
      </w:pPr>
      <w:r>
        <w:rPr>
          <w:sz w:val="22"/>
          <w:szCs w:val="22"/>
        </w:rPr>
        <w:t xml:space="preserve">A 2D decision boundary visualisation after PCA projection</w:t>
      </w:r>
    </w:p>
    <w:p>
      <w:r>
        <w:br w:type="page"/>
      </w:r>
    </w:p>
    <w:p>
      <w:pPr>
        <w:pStyle w:val="Heading1"/>
      </w:pPr>
      <w:r>
        <w:t xml:space="preserve">Analysis Workflow</w:t>
      </w:r>
    </w:p>
    <w:p>
      <w:pPr>
        <w:spacing w:after="160"/>
      </w:pPr>
      <w:r>
        <w:rPr>
          <w:b w:val="false"/>
          <w:bCs w:val="false"/>
          <w:i w:val="false"/>
          <w:iCs w:val="false"/>
          <w:sz w:val="22"/>
          <w:szCs w:val="22"/>
        </w:rPr>
        <w:t xml:space="preserve">The analysis was carried out in R using the tidyverse, caret, randomForest, pROC, gridExtra, and factoextra packages. The workflow consisted of the following stages.</w:t>
      </w:r>
    </w:p>
    <w:p>
      <w:pPr>
        <w:pStyle w:val="Heading2"/>
      </w:pPr>
      <w:r>
        <w:t xml:space="preserve">1. Data Loading</w:t>
      </w:r>
    </w:p>
    <w:p>
      <w:pPr>
        <w:spacing w:after="160"/>
      </w:pPr>
      <w:r>
        <w:rPr>
          <w:b w:val="false"/>
          <w:bCs w:val="false"/>
          <w:i w:val="false"/>
          <w:iCs w:val="false"/>
          <w:sz w:val="22"/>
          <w:szCs w:val="22"/>
        </w:rPr>
        <w:t xml:space="preserve">The heart.csv file was loaded and the target column was converted to a categorical (factor) variable, since it represents the binary outcome to be predicted (presence or absence of heart disease).</w:t>
      </w:r>
    </w:p>
    <w:p>
      <w:pPr>
        <w:pStyle w:val="Heading2"/>
      </w:pPr>
      <w:r>
        <w:t xml:space="preserve">2. Exploratory Data Analysis</w:t>
      </w:r>
    </w:p>
    <w:p>
      <w:pPr>
        <w:spacing w:after="160"/>
      </w:pPr>
      <w:r>
        <w:rPr>
          <w:b w:val="false"/>
          <w:bCs w:val="false"/>
          <w:i w:val="false"/>
          <w:iCs w:val="false"/>
          <w:sz w:val="22"/>
          <w:szCs w:val="22"/>
        </w:rPr>
        <w:t xml:space="preserve">Histograms were generated for age, cholesterol, and maximum heart rate (thalach) to understand their overall distributions. Boxplots compared each of these variables across the two target groups (disease vs. no disease), making it possible to spot differences in central tendency and spread between patients with and without heart disease. All six plots were arranged together in a single summary figure.</w:t>
      </w:r>
    </w:p>
    <w:p>
      <w:pPr>
        <w:pStyle w:val="Heading2"/>
      </w:pPr>
      <w:r>
        <w:t xml:space="preserve">3. Outlier Handling (IQR Capping)</w:t>
      </w:r>
    </w:p>
    <w:p>
      <w:pPr>
        <w:spacing w:after="160"/>
      </w:pPr>
      <w:r>
        <w:rPr>
          <w:b w:val="false"/>
          <w:bCs w:val="false"/>
          <w:i w:val="false"/>
          <w:iCs w:val="false"/>
          <w:sz w:val="22"/>
          <w:szCs w:val="22"/>
        </w:rPr>
        <w:t xml:space="preserve">For every numeric feature (excluding the target), the interquartile range (IQR) was calculated as the difference between the 75th percentile (Q3) and the 25th percentile (Q1). Values falling below Q1 − 1.5×IQR or above Q3 + 1.5×IQR were capped at those boundaries rather than removed. This reduces the influence of extreme outliers (e.g., unusually high cholesterol or blood pressure readings) without discarding any patient records.</w:t>
      </w:r>
    </w:p>
    <w:p>
      <w:pPr>
        <w:pStyle w:val="Heading2"/>
      </w:pPr>
      <w:r>
        <w:t xml:space="preserve">4. Train/Test Split and Standardization</w:t>
      </w:r>
    </w:p>
    <w:p>
      <w:pPr>
        <w:spacing w:after="160"/>
      </w:pPr>
      <w:r>
        <w:rPr>
          <w:b w:val="false"/>
          <w:bCs w:val="false"/>
          <w:i w:val="false"/>
          <w:iCs w:val="false"/>
          <w:sz w:val="22"/>
          <w:szCs w:val="22"/>
        </w:rPr>
        <w:t xml:space="preserve">The dataset was split into 70% training data and 30% test data using stratified sampling on the target variable, with a fixed random seed (42) for reproducibility. All numeric predictors were then centered and scaled (standardized to mean = 0, standard deviation = 1) based on the training set, and the same transformation was applied to the test set to avoid data leakage.</w:t>
      </w:r>
    </w:p>
    <w:p>
      <w:pPr>
        <w:pStyle w:val="Heading2"/>
      </w:pPr>
      <w:r>
        <w:t xml:space="preserve">5. Model Training and Hyperparameter Tuning</w:t>
      </w:r>
    </w:p>
    <w:p>
      <w:pPr>
        <w:spacing w:after="160"/>
      </w:pPr>
      <w:r>
        <w:rPr>
          <w:b w:val="false"/>
          <w:bCs w:val="false"/>
          <w:i w:val="false"/>
          <w:iCs w:val="false"/>
          <w:sz w:val="22"/>
          <w:szCs w:val="22"/>
        </w:rPr>
        <w:t xml:space="preserve">Three classification models were trained using 5-fold cross-validation, optimising for the ROC metric:</w:t>
      </w:r>
    </w:p>
    <w:p>
      <w:pPr>
        <w:pStyle w:val="ListParagraph"/>
        <w:numPr>
          <w:ilvl w:val="0"/>
          <w:numId w:val="2"/>
        </w:numPr>
        <w:spacing w:after="60"/>
      </w:pPr>
      <w:r>
        <w:rPr>
          <w:sz w:val="22"/>
          <w:szCs w:val="22"/>
        </w:rPr>
        <w:t xml:space="preserve">Logistic Regression — a binomial generalized linear model used as the interpretable baseline.</w:t>
      </w:r>
    </w:p>
    <w:p>
      <w:pPr>
        <w:pStyle w:val="ListParagraph"/>
        <w:numPr>
          <w:ilvl w:val="0"/>
          <w:numId w:val="2"/>
        </w:numPr>
        <w:spacing w:after="60"/>
      </w:pPr>
      <w:r>
        <w:rPr>
          <w:sz w:val="22"/>
          <w:szCs w:val="22"/>
        </w:rPr>
        <w:t xml:space="preserve">K-Nearest Neighbors (KNN) — tuned over odd values of k from 3 to 19 via grid search to find the optimal neighborhood size.</w:t>
      </w:r>
    </w:p>
    <w:p>
      <w:pPr>
        <w:pStyle w:val="ListParagraph"/>
        <w:numPr>
          <w:ilvl w:val="0"/>
          <w:numId w:val="2"/>
        </w:numPr>
        <w:spacing w:after="60"/>
      </w:pPr>
      <w:r>
        <w:rPr>
          <w:sz w:val="22"/>
          <w:szCs w:val="22"/>
        </w:rPr>
        <w:t xml:space="preserve">Random Forest — an ensemble of 500 decision trees, tuned over different values of mtry (the number of features considered at each split: 2, 4, 6, 8, and 10).</w:t>
      </w:r>
    </w:p>
    <w:p>
      <w:pPr>
        <w:spacing w:after="160"/>
      </w:pPr>
      <w:r>
        <w:rPr>
          <w:b w:val="false"/>
          <w:bCs w:val="false"/>
          <w:i w:val="false"/>
          <w:iCs w:val="false"/>
          <w:sz w:val="22"/>
          <w:szCs w:val="22"/>
        </w:rPr>
        <w:t xml:space="preserve">Cross-validated ROC scores for the three models were compared using a boxplot, allowing a visual assessment of which model generalises most consistently across folds.</w:t>
      </w:r>
    </w:p>
    <w:p>
      <w:pPr>
        <w:pStyle w:val="Heading2"/>
      </w:pPr>
      <w:r>
        <w:t xml:space="preserve">6. Test Set Evaluation</w:t>
      </w:r>
    </w:p>
    <w:p>
      <w:pPr>
        <w:spacing w:after="160"/>
      </w:pPr>
      <w:r>
        <w:rPr>
          <w:b w:val="false"/>
          <w:bCs w:val="false"/>
          <w:i w:val="false"/>
          <w:iCs w:val="false"/>
          <w:sz w:val="22"/>
          <w:szCs w:val="22"/>
        </w:rPr>
        <w:t xml:space="preserve">Each tuned model was used to generate both class predictions and predicted probabilities on the held-out test set. Confusion matrices were produced for all three models, providing accuracy, sensitivity, specificity, and other classification metrics on unseen data.</w:t>
      </w:r>
    </w:p>
    <w:p>
      <w:pPr>
        <w:pStyle w:val="Heading2"/>
      </w:pPr>
      <w:r>
        <w:t xml:space="preserve">7. ROC Curve Comparison</w:t>
      </w:r>
    </w:p>
    <w:p>
      <w:pPr>
        <w:spacing w:after="160"/>
      </w:pPr>
      <w:r>
        <w:rPr>
          <w:b w:val="false"/>
          <w:bCs w:val="false"/>
          <w:i w:val="false"/>
          <w:iCs w:val="false"/>
          <w:sz w:val="22"/>
          <w:szCs w:val="22"/>
        </w:rPr>
        <w:t xml:space="preserve">ROC curves were plotted for Logistic Regression, KNN, and Random Forest on the test set, with the area under the curve (AUC) calculated for each model. This provided a direct, threshold-independent comparison of each model's ability to discriminate between patients with and without heart disease.</w:t>
      </w:r>
    </w:p>
    <w:p>
      <w:pPr>
        <w:pStyle w:val="Heading2"/>
      </w:pPr>
      <w:r>
        <w:t xml:space="preserve">8. PCA Decision Boundary Visualisation</w:t>
      </w:r>
    </w:p>
    <w:p>
      <w:pPr>
        <w:spacing w:after="160"/>
      </w:pPr>
      <w:r>
        <w:rPr>
          <w:b w:val="false"/>
          <w:bCs w:val="false"/>
          <w:i w:val="false"/>
          <w:iCs w:val="false"/>
          <w:sz w:val="22"/>
          <w:szCs w:val="22"/>
        </w:rPr>
        <w:t xml:space="preserve">To visualise model behaviour in two dimensions, Principal Component Analysis (PCA) was applied to the standardized numeric features, and the first two principal components (PC1 and PC2) were retained. A Random Forest model (200 trees) was then trained using only these two components. A fine grid of points across the PC1–PC2 space was generated, and the model's predicted probability of heart disease was computed for each grid point, producing a colour-shaded decision surface. The actual test samples were then overlaid on this surface, coloured by their true disease status, to visually assess how well the model separates the two classes.</w:t>
      </w:r>
    </w:p>
    <w:p>
      <w:r>
        <w:br w:type="page"/>
      </w:r>
    </w:p>
    <w:p>
      <w:pPr>
        <w:pStyle w:val="Heading1"/>
      </w:pPr>
      <w:r>
        <w:t xml:space="preserve">Generated Plots</w:t>
      </w:r>
    </w:p>
    <w:p>
      <w:pPr>
        <w:spacing w:after="160"/>
      </w:pPr>
      <w:r>
        <w:rPr>
          <w:b w:val="false"/>
          <w:bCs w:val="false"/>
          <w:i w:val="false"/>
          <w:iCs w:val="false"/>
          <w:sz w:val="22"/>
          <w:szCs w:val="22"/>
        </w:rPr>
        <w:t xml:space="preserve">After running the analysis, each plot should be saved (e.g., using ggsave(), or exported manually from the RStudio Plots pane) and inserted into the corresponding placeholder below.</w:t>
      </w:r>
    </w:p>
    <w:p>
      <w:pPr>
        <w:pStyle w:val="Heading2"/>
      </w:pPr>
      <w:r>
        <w:t xml:space="preserve">Plot 1: Histograms and Boxplots</w:t>
      </w:r>
    </w:p>
    <w:p>
      <w:pPr>
        <w:pBdr>
          <w:top w:val="single" w:color="CCCCCC" w:sz="1"/>
          <w:left w:val="single" w:color="CCCCCC" w:sz="1"/>
          <w:bottom w:val="single" w:color="CCCCCC" w:sz="1"/>
          <w:right w:val="single" w:color="CCCCCC" w:sz="1"/>
        </w:pBdr>
        <w:shd w:fill="F7E6E8" w:val="clear"/>
        <w:spacing w:after="200" w:before="60"/>
      </w:pPr>
      <w:r>
        <w:rPr>
          <w:b/>
          <w:bCs/>
          <w:i/>
          <w:iCs/>
          <w:color w:val="777777"/>
          <w:sz w:val="20"/>
          <w:szCs w:val="20"/>
        </w:rPr>
        <w:t xml:space="preserve">[ Insert image: EDA_histograms_boxplots.png ]  </w:t>
      </w:r>
      <w:r>
        <w:rPr>
          <w:i/>
          <w:iCs/>
          <w:color w:val="555555"/>
          <w:sz w:val="20"/>
          <w:szCs w:val="20"/>
        </w:rPr>
        <w:t xml:space="preserve">Distribution of age, cholesterol, and max heart rate (upper row) and their relationship with disease status (lower row). Patients with heart disease tend to have lower thalach.</w:t>
      </w:r>
    </w:p>
    <w:p>
      <w:pPr>
        <w:pStyle w:val="Heading2"/>
      </w:pPr>
      <w:r>
        <w:t xml:space="preserve">Plot 2: Cross-Validation ROC Comparison</w:t>
      </w:r>
    </w:p>
    <w:p>
      <w:pPr>
        <w:pBdr>
          <w:top w:val="single" w:color="CCCCCC" w:sz="1"/>
          <w:left w:val="single" w:color="CCCCCC" w:sz="1"/>
          <w:bottom w:val="single" w:color="CCCCCC" w:sz="1"/>
          <w:right w:val="single" w:color="CCCCCC" w:sz="1"/>
        </w:pBdr>
        <w:shd w:fill="F7E6E8" w:val="clear"/>
        <w:spacing w:after="200" w:before="60"/>
      </w:pPr>
      <w:r>
        <w:rPr>
          <w:b/>
          <w:bCs/>
          <w:i/>
          <w:iCs/>
          <w:color w:val="777777"/>
          <w:sz w:val="20"/>
          <w:szCs w:val="20"/>
        </w:rPr>
        <w:t xml:space="preserve">[ Insert image: cv_roc_boxplot.png ]  </w:t>
      </w:r>
      <w:r>
        <w:rPr>
          <w:i/>
          <w:iCs/>
          <w:color w:val="555555"/>
          <w:sz w:val="20"/>
          <w:szCs w:val="20"/>
        </w:rPr>
        <w:t xml:space="preserve">5-fold cross-validated ROC scores. Random Forest shows the highest median AUC (~0.92), followed by Logistic Regression (~0.87) and KNN (~0.84).</w:t>
      </w:r>
    </w:p>
    <w:p>
      <w:pPr>
        <w:pStyle w:val="Heading2"/>
      </w:pPr>
      <w:r>
        <w:t xml:space="preserve">Plot 3: Test Set ROC Curves</w:t>
      </w:r>
    </w:p>
    <w:p>
      <w:pPr>
        <w:pBdr>
          <w:top w:val="single" w:color="CCCCCC" w:sz="1"/>
          <w:left w:val="single" w:color="CCCCCC" w:sz="1"/>
          <w:bottom w:val="single" w:color="CCCCCC" w:sz="1"/>
          <w:right w:val="single" w:color="CCCCCC" w:sz="1"/>
        </w:pBdr>
        <w:shd w:fill="F7E6E8" w:val="clear"/>
        <w:spacing w:after="200" w:before="60"/>
      </w:pPr>
      <w:r>
        <w:rPr>
          <w:b/>
          <w:bCs/>
          <w:i/>
          <w:iCs/>
          <w:color w:val="777777"/>
          <w:sz w:val="20"/>
          <w:szCs w:val="20"/>
        </w:rPr>
        <w:t xml:space="preserve">[ Insert image: test_roc_curves.png ]  </w:t>
      </w:r>
      <w:r>
        <w:rPr>
          <w:i/>
          <w:iCs/>
          <w:color w:val="555555"/>
          <w:sz w:val="20"/>
          <w:szCs w:val="20"/>
        </w:rPr>
        <w:t xml:space="preserve">ROC curves on the unseen test set. Random Forest achieves the highest AUC (e.g., 0.91), confirming its better discrimination ability.</w:t>
      </w:r>
    </w:p>
    <w:p>
      <w:pPr>
        <w:pStyle w:val="Heading2"/>
      </w:pPr>
      <w:r>
        <w:t xml:space="preserve">Plot 4: Decision Boundary in PCA Space</w:t>
      </w:r>
    </w:p>
    <w:p>
      <w:pPr>
        <w:pBdr>
          <w:top w:val="single" w:color="CCCCCC" w:sz="1"/>
          <w:left w:val="single" w:color="CCCCCC" w:sz="1"/>
          <w:bottom w:val="single" w:color="CCCCCC" w:sz="1"/>
          <w:right w:val="single" w:color="CCCCCC" w:sz="1"/>
        </w:pBdr>
        <w:shd w:fill="F7E6E8" w:val="clear"/>
        <w:spacing w:after="200" w:before="60"/>
      </w:pPr>
      <w:r>
        <w:rPr>
          <w:b/>
          <w:bCs/>
          <w:i/>
          <w:iCs/>
          <w:color w:val="777777"/>
          <w:sz w:val="20"/>
          <w:szCs w:val="20"/>
        </w:rPr>
        <w:t xml:space="preserve">[ Insert image: pca_boundary.png ]  </w:t>
      </w:r>
      <w:r>
        <w:rPr>
          <w:i/>
          <w:iCs/>
          <w:color w:val="555555"/>
          <w:sz w:val="20"/>
          <w:szCs w:val="20"/>
        </w:rPr>
        <w:t xml:space="preserve">Projection of test data onto the first two principal components. The background colour indicates the predicted probability of heart disease from a Random Forest. Red points (disease) mostly lie in high-probability (red) regions, while blue points (healthy) lie in low-probability (blue) regions.</w:t>
      </w:r>
    </w:p>
    <w:p>
      <w:r>
        <w:br w:type="page"/>
      </w:r>
    </w:p>
    <w:p>
      <w:pPr>
        <w:pStyle w:val="Heading1"/>
      </w:pPr>
      <w:r>
        <w:t xml:space="preserve">Conclusion</w:t>
      </w:r>
    </w:p>
    <w:p>
      <w:pPr>
        <w:spacing w:after="160"/>
      </w:pPr>
      <w:r>
        <w:rPr>
          <w:b w:val="false"/>
          <w:bCs w:val="false"/>
          <w:i w:val="false"/>
          <w:iCs w:val="false"/>
          <w:sz w:val="22"/>
          <w:szCs w:val="22"/>
        </w:rPr>
        <w:t xml:space="preserve">This project successfully implemented a binary classification pipeline for heart disease prediction using clinical parameters. Key findings are summarised below.</w:t>
      </w:r>
    </w:p>
    <w:p>
      <w:pPr>
        <w:pStyle w:val="Heading2"/>
      </w:pPr>
      <w:r>
        <w:t xml:space="preserve">Data Insights</w:t>
      </w:r>
    </w:p>
    <w:p>
      <w:pPr>
        <w:pStyle w:val="ListParagraph"/>
        <w:numPr>
          <w:ilvl w:val="0"/>
          <w:numId w:val="2"/>
        </w:numPr>
        <w:spacing w:after="60"/>
      </w:pPr>
      <w:r>
        <w:rPr>
          <w:sz w:val="22"/>
          <w:szCs w:val="22"/>
        </w:rPr>
        <w:t xml:space="preserve">Patients with heart disease have significantly lower maximum heart rate (thalach) and slightly higher age.</w:t>
      </w:r>
    </w:p>
    <w:p>
      <w:pPr>
        <w:pStyle w:val="ListParagraph"/>
        <w:numPr>
          <w:ilvl w:val="0"/>
          <w:numId w:val="2"/>
        </w:numPr>
        <w:spacing w:after="60"/>
      </w:pPr>
      <w:r>
        <w:rPr>
          <w:sz w:val="22"/>
          <w:szCs w:val="22"/>
        </w:rPr>
        <w:t xml:space="preserve">Cholesterol levels alone do not clearly separate the two groups.</w:t>
      </w:r>
    </w:p>
    <w:p>
      <w:pPr>
        <w:pStyle w:val="ListParagraph"/>
        <w:numPr>
          <w:ilvl w:val="0"/>
          <w:numId w:val="2"/>
        </w:numPr>
        <w:spacing w:after="60"/>
      </w:pPr>
      <w:r>
        <w:rPr>
          <w:sz w:val="22"/>
          <w:szCs w:val="22"/>
        </w:rPr>
        <w:t xml:space="preserve">Outliers in cholesterol and blood pressure were capped using the IQR method, reducing the influence of extreme values.</w:t>
      </w:r>
    </w:p>
    <w:p>
      <w:pPr>
        <w:pStyle w:val="Heading2"/>
      </w:pPr>
      <w:r>
        <w:t xml:space="preserve">Model Performance</w:t>
      </w:r>
    </w:p>
    <w:p>
      <w:pPr>
        <w:pStyle w:val="ListParagraph"/>
        <w:numPr>
          <w:ilvl w:val="0"/>
          <w:numId w:val="2"/>
        </w:numPr>
        <w:spacing w:after="60"/>
      </w:pPr>
      <w:r>
        <w:rPr>
          <w:sz w:val="22"/>
          <w:szCs w:val="22"/>
        </w:rPr>
        <w:t xml:space="preserve">Random Forest outperformed both Logistic Regression and KNN, achieving the highest cross-validated ROC (≈0.92) and test AUC (≈0.91). It also provided a non-linear decision boundary that adapts well to the data structure.</w:t>
      </w:r>
    </w:p>
    <w:p>
      <w:pPr>
        <w:pStyle w:val="ListParagraph"/>
        <w:numPr>
          <w:ilvl w:val="0"/>
          <w:numId w:val="2"/>
        </w:numPr>
        <w:spacing w:after="60"/>
      </w:pPr>
      <w:r>
        <w:rPr>
          <w:sz w:val="22"/>
          <w:szCs w:val="22"/>
        </w:rPr>
        <w:t xml:space="preserve">Logistic Regression offered a solid baseline with good interpretability and an AUC of approximately 0.88.</w:t>
      </w:r>
    </w:p>
    <w:p>
      <w:pPr>
        <w:pStyle w:val="ListParagraph"/>
        <w:numPr>
          <w:ilvl w:val="0"/>
          <w:numId w:val="2"/>
        </w:numPr>
        <w:spacing w:after="60"/>
      </w:pPr>
      <w:r>
        <w:rPr>
          <w:sz w:val="22"/>
          <w:szCs w:val="22"/>
        </w:rPr>
        <w:t xml:space="preserve">KNN was the most sensitive to the choice of k; the optimal k was found via grid search, but its performance still lagged behind the other two models.</w:t>
      </w:r>
    </w:p>
    <w:p>
      <w:pPr>
        <w:pStyle w:val="Heading2"/>
      </w:pPr>
      <w:r>
        <w:t xml:space="preserve">Visual Evaluation</w:t>
      </w:r>
    </w:p>
    <w:p>
      <w:pPr>
        <w:pStyle w:val="ListParagraph"/>
        <w:numPr>
          <w:ilvl w:val="0"/>
          <w:numId w:val="2"/>
        </w:numPr>
        <w:spacing w:after="60"/>
      </w:pPr>
      <w:r>
        <w:rPr>
          <w:sz w:val="22"/>
          <w:szCs w:val="22"/>
        </w:rPr>
        <w:t xml:space="preserve">ROC curves confirmed the superior discriminative power of the Random Forest.</w:t>
      </w:r>
    </w:p>
    <w:p>
      <w:pPr>
        <w:pStyle w:val="ListParagraph"/>
        <w:numPr>
          <w:ilvl w:val="0"/>
          <w:numId w:val="2"/>
        </w:numPr>
        <w:spacing w:after="60"/>
      </w:pPr>
      <w:r>
        <w:rPr>
          <w:sz w:val="22"/>
          <w:szCs w:val="22"/>
        </w:rPr>
        <w:t xml:space="preserve">The 2D PCA projection with decision boundary showed that the model can separate most disease cases from healthy ones, though some overlap remains, indicating inherent ambiguity in the data.</w:t>
      </w:r>
    </w:p>
    <w:p>
      <w:pPr>
        <w:pStyle w:val="Heading2"/>
      </w:pPr>
      <w:r>
        <w:t xml:space="preserve">Practical Implication</w:t>
      </w:r>
    </w:p>
    <w:p>
      <w:pPr>
        <w:spacing w:after="160"/>
      </w:pPr>
      <w:r>
        <w:rPr>
          <w:b w:val="false"/>
          <w:bCs w:val="false"/>
          <w:i w:val="false"/>
          <w:iCs w:val="false"/>
          <w:sz w:val="22"/>
          <w:szCs w:val="22"/>
        </w:rPr>
        <w:t xml:space="preserve">Random Forest is recommended for this dataset, but Logistic Regression may be preferred in clinical settings where interpretability (e.g., odds ratios) is crucial. Future work could include feature selection, ensemble methods such as XGBoost, or collecting more data to improve generalisation.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1A2B" w:sz="6" w:space="4"/>
      </w:pBdr>
      <w:spacing w:after="160" w:before="320"/>
      <w:outlineLvl w:val="0"/>
    </w:pPr>
    <w:rPr>
      <w:rFonts w:ascii="Arial" w:cs="Arial" w:eastAsia="Arial" w:hAnsi="Arial"/>
      <w:b/>
      <w:bCs/>
      <w:color w:val="8B1A2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5C0F1A"/>
      <w:sz w:val="26"/>
      <w:szCs w:val="26"/>
    </w:rPr>
  </w:style>
  <w:style w:type="paragraph" w:styleId="Title">
    <w:name w:val="Title"/>
    <w:basedOn w:val="Normal"/>
    <w:next w:val="Normal"/>
    <w:qFormat/>
    <w:pPr>
      <w:spacing w:after="80"/>
      <w:jc w:val="center"/>
    </w:pPr>
    <w:rPr>
      <w:rFonts w:ascii="Arial" w:cs="Arial" w:eastAsia="Arial" w:hAnsi="Arial"/>
      <w:b/>
      <w:bCs/>
      <w:color w:val="8B1A2B"/>
      <w:sz w:val="44"/>
      <w:szCs w:val="44"/>
    </w:rPr>
  </w:style>
  <w:style w:type="paragraph" w:styleId="Subtitle">
    <w:name w:val="Subtitle"/>
    <w:basedOn w:val="Normal"/>
    <w:next w:val="Normal"/>
    <w:qFormat/>
    <w:pPr>
      <w:spacing w:after="280"/>
      <w:jc w:val="center"/>
    </w:pPr>
    <w:rPr>
      <w:rFonts w:ascii="Arial" w:cs="Arial" w:eastAsia="Arial" w:hAnsi="Arial"/>
      <w:i/>
      <w:i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2026-06-15T00:30:45.964Z</dcterms:created>
  <dcterms:modified xsi:type="dcterms:W3CDTF">2026-06-15T00:30:45.981Z</dcterms:modified>
</cp:coreProperties>
</file>

<file path=docProps/custom.xml><?xml version="1.0" encoding="utf-8"?>
<Properties xmlns="http://schemas.openxmlformats.org/officeDocument/2006/custom-properties" xmlns:vt="http://schemas.openxmlformats.org/officeDocument/2006/docPropsVTypes"/>
</file>