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5F73"/>
          <w:sz w:val="48"/>
        </w:rPr>
        <w:t>Breast Cancer Classification Using Random Forest</w:t>
      </w:r>
    </w:p>
    <w:p>
      <w:pPr>
        <w:spacing w:after="360"/>
      </w:pPr>
      <w:r>
        <w:rPr>
          <w:i/>
          <w:color w:val="666666"/>
          <w:sz w:val="24"/>
        </w:rPr>
        <w:t>Machine Learning Case Study &amp; Performance Report — R Implementation</w:t>
      </w:r>
    </w:p>
    <w:p>
      <w:pPr>
        <w:keepNext/>
        <w:spacing w:before="240" w:after="120"/>
      </w:pPr>
      <w:r>
        <w:rPr>
          <w:rFonts w:ascii="Calibri" w:hAnsi="Calibri"/>
          <w:b/>
          <w:color w:val="005F73"/>
          <w:sz w:val="36"/>
        </w:rPr>
        <w:t>1. Project Overview</w:t>
      </w:r>
    </w:p>
    <w:p>
      <w:pPr>
        <w:spacing w:before="0" w:after="160"/>
        <w:pBdr>
          <w:bottom w:val="single" w:sz="12" w:space="1" w:color="005F73"/>
        </w:pBdr>
      </w:pPr>
    </w:p>
    <w:p>
      <w:r>
        <w:rPr>
          <w:b/>
        </w:rPr>
        <w:t xml:space="preserve">• </w:t>
      </w:r>
      <w:r>
        <w:rPr>
          <w:b/>
        </w:rPr>
        <w:t xml:space="preserve">Objective: </w:t>
      </w:r>
      <w:r>
        <w:t>Predict whether a breast tumor is malignant (cancerous) or benign (non-cancerous) based on cell nucleus features extracted from biopsy digital images.</w:t>
        <w:br/>
      </w:r>
      <w:r>
        <w:rPr>
          <w:b/>
        </w:rPr>
        <w:t xml:space="preserve">• </w:t>
      </w:r>
      <w:r>
        <w:rPr>
          <w:b/>
        </w:rPr>
        <w:t xml:space="preserve">Dataset: </w:t>
      </w:r>
      <w:r>
        <w:t xml:space="preserve">Wisconsin Breast Cancer Dataset (sourced from the </w:t>
      </w:r>
      <w:r>
        <w:rPr>
          <w:i/>
        </w:rPr>
        <w:t>mlbench::BreastCancer</w:t>
      </w:r>
      <w:r>
        <w:t xml:space="preserve"> package in R).</w:t>
        <w:br/>
      </w:r>
      <w:r>
        <w:rPr>
          <w:b/>
        </w:rPr>
        <w:t xml:space="preserve">• </w:t>
      </w:r>
      <w:r>
        <w:rPr>
          <w:b/>
        </w:rPr>
        <w:t xml:space="preserve">Type: </w:t>
      </w:r>
      <w:r>
        <w:t>Binary Classification.</w:t>
        <w:br/>
      </w:r>
      <w:r>
        <w:rPr>
          <w:b/>
        </w:rPr>
        <w:t xml:space="preserve">• </w:t>
      </w:r>
      <w:r>
        <w:rPr>
          <w:b/>
        </w:rPr>
        <w:t xml:space="preserve">Libraries Used: </w:t>
      </w:r>
      <w:r>
        <w:t>ggplot2, corrplot, caret, randomForest, dplyr, ROCR</w:t>
      </w:r>
    </w:p>
    <w:p>
      <w:pPr>
        <w:keepNext/>
        <w:spacing w:before="240" w:after="120"/>
      </w:pPr>
      <w:r>
        <w:rPr>
          <w:rFonts w:ascii="Calibri" w:hAnsi="Calibri"/>
          <w:b/>
          <w:color w:val="005F73"/>
          <w:sz w:val="36"/>
        </w:rPr>
        <w:t>2. Dataset Description</w:t>
      </w:r>
    </w:p>
    <w:p>
      <w:pPr>
        <w:spacing w:before="0" w:after="160"/>
        <w:pBdr>
          <w:bottom w:val="single" w:sz="12" w:space="1" w:color="005F73"/>
        </w:pBdr>
      </w:pPr>
    </w:p>
    <w:p>
      <w:r>
        <w:rPr>
          <w:b/>
        </w:rPr>
        <w:t xml:space="preserve">• </w:t>
      </w:r>
      <w:r>
        <w:rPr>
          <w:b/>
        </w:rPr>
        <w:t xml:space="preserve">Number of samples: </w:t>
      </w:r>
      <w:r>
        <w:t>683 (after the clean removal of 16 missing values)</w:t>
        <w:br/>
      </w:r>
      <w:r>
        <w:rPr>
          <w:b/>
        </w:rPr>
        <w:t xml:space="preserve">• </w:t>
      </w:r>
      <w:r>
        <w:rPr>
          <w:b/>
        </w:rPr>
        <w:t xml:space="preserve">Number of features: </w:t>
      </w:r>
      <w:r>
        <w:t>9 clinical attributes (Cl.thickness, Cell.size, Cell.shape, Marg.adhesion, Epith.c.size, Bare.nuclei, Bl.chromatin, Normal.nucleoli, Mitoses)</w:t>
        <w:br/>
      </w:r>
      <w:r>
        <w:rPr>
          <w:b/>
        </w:rPr>
        <w:t xml:space="preserve">• </w:t>
      </w:r>
      <w:r>
        <w:rPr>
          <w:b/>
        </w:rPr>
        <w:t xml:space="preserve">Target classes: </w:t>
      </w:r>
      <w:r>
        <w:t>Benign (444 samples, ~65%) | Malignant (239 samples, ~35%)</w:t>
      </w:r>
    </w:p>
    <w:p>
      <w:pPr>
        <w:keepNext/>
        <w:spacing w:before="240" w:after="120"/>
      </w:pPr>
      <w:r>
        <w:rPr>
          <w:rFonts w:ascii="Calibri" w:hAnsi="Calibri"/>
          <w:b/>
          <w:color w:val="2B2D42"/>
          <w:sz w:val="24"/>
        </w:rPr>
        <w:t>Sample of First 5 Rows (Features Only)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040"/>
        <w:gridCol w:w="1040"/>
        <w:gridCol w:w="1040"/>
        <w:gridCol w:w="1040"/>
        <w:gridCol w:w="1040"/>
        <w:gridCol w:w="1040"/>
        <w:gridCol w:w="1040"/>
        <w:gridCol w:w="1040"/>
        <w:gridCol w:w="1040"/>
      </w:tblGrid>
      <w:tr>
        <w:tc>
          <w:tcPr>
            <w:tcW w:type="dxa" w:w="1040"/>
            <w:tcMar>
              <w:top w:w="80" w:type="dxa"/>
              <w:bottom w:w="80" w:type="dxa"/>
              <w:left w:w="100" w:type="dxa"/>
              <w:right w:w="100" w:type="dxa"/>
            </w:tcMar>
            <w:shd w:fill="005F73"/>
          </w:tcPr>
          <w:p>
            <w:pPr>
              <w:jc w:val="center"/>
            </w:pPr>
            <w:r>
              <w:rPr>
                <w:b/>
                <w:color w:val="FFFFFF"/>
                <w:sz w:val="19"/>
              </w:rPr>
              <w:t>Cl.thickness</w:t>
            </w:r>
          </w:p>
        </w:tc>
        <w:tc>
          <w:tcPr>
            <w:tcW w:type="dxa" w:w="1040"/>
            <w:tcMar>
              <w:top w:w="80" w:type="dxa"/>
              <w:bottom w:w="80" w:type="dxa"/>
              <w:left w:w="100" w:type="dxa"/>
              <w:right w:w="100" w:type="dxa"/>
            </w:tcMar>
            <w:shd w:fill="005F73"/>
          </w:tcPr>
          <w:p>
            <w:pPr>
              <w:jc w:val="center"/>
            </w:pPr>
            <w:r>
              <w:rPr>
                <w:b/>
                <w:color w:val="FFFFFF"/>
                <w:sz w:val="19"/>
              </w:rPr>
              <w:t>Cell.size</w:t>
            </w:r>
          </w:p>
        </w:tc>
        <w:tc>
          <w:tcPr>
            <w:tcW w:type="dxa" w:w="1040"/>
            <w:tcMar>
              <w:top w:w="80" w:type="dxa"/>
              <w:bottom w:w="80" w:type="dxa"/>
              <w:left w:w="100" w:type="dxa"/>
              <w:right w:w="100" w:type="dxa"/>
            </w:tcMar>
            <w:shd w:fill="005F73"/>
          </w:tcPr>
          <w:p>
            <w:pPr>
              <w:jc w:val="center"/>
            </w:pPr>
            <w:r>
              <w:rPr>
                <w:b/>
                <w:color w:val="FFFFFF"/>
                <w:sz w:val="19"/>
              </w:rPr>
              <w:t>Cell.shape</w:t>
            </w:r>
          </w:p>
        </w:tc>
        <w:tc>
          <w:tcPr>
            <w:tcW w:type="dxa" w:w="1040"/>
            <w:tcMar>
              <w:top w:w="80" w:type="dxa"/>
              <w:bottom w:w="80" w:type="dxa"/>
              <w:left w:w="100" w:type="dxa"/>
              <w:right w:w="100" w:type="dxa"/>
            </w:tcMar>
            <w:shd w:fill="005F73"/>
          </w:tcPr>
          <w:p>
            <w:pPr>
              <w:jc w:val="center"/>
            </w:pPr>
            <w:r>
              <w:rPr>
                <w:b/>
                <w:color w:val="FFFFFF"/>
                <w:sz w:val="19"/>
              </w:rPr>
              <w:t>Marg.adhesion</w:t>
            </w:r>
          </w:p>
        </w:tc>
        <w:tc>
          <w:tcPr>
            <w:tcW w:type="dxa" w:w="1040"/>
            <w:tcMar>
              <w:top w:w="80" w:type="dxa"/>
              <w:bottom w:w="80" w:type="dxa"/>
              <w:left w:w="100" w:type="dxa"/>
              <w:right w:w="100" w:type="dxa"/>
            </w:tcMar>
            <w:shd w:fill="005F73"/>
          </w:tcPr>
          <w:p>
            <w:pPr>
              <w:jc w:val="center"/>
            </w:pPr>
            <w:r>
              <w:rPr>
                <w:b/>
                <w:color w:val="FFFFFF"/>
                <w:sz w:val="19"/>
              </w:rPr>
              <w:t>Epith.c.size</w:t>
            </w:r>
          </w:p>
        </w:tc>
        <w:tc>
          <w:tcPr>
            <w:tcW w:type="dxa" w:w="1040"/>
            <w:tcMar>
              <w:top w:w="80" w:type="dxa"/>
              <w:bottom w:w="80" w:type="dxa"/>
              <w:left w:w="100" w:type="dxa"/>
              <w:right w:w="100" w:type="dxa"/>
            </w:tcMar>
            <w:shd w:fill="005F73"/>
          </w:tcPr>
          <w:p>
            <w:pPr>
              <w:jc w:val="center"/>
            </w:pPr>
            <w:r>
              <w:rPr>
                <w:b/>
                <w:color w:val="FFFFFF"/>
                <w:sz w:val="19"/>
              </w:rPr>
              <w:t>Bare.nuclei</w:t>
            </w:r>
          </w:p>
        </w:tc>
        <w:tc>
          <w:tcPr>
            <w:tcW w:type="dxa" w:w="1040"/>
            <w:tcMar>
              <w:top w:w="80" w:type="dxa"/>
              <w:bottom w:w="80" w:type="dxa"/>
              <w:left w:w="100" w:type="dxa"/>
              <w:right w:w="100" w:type="dxa"/>
            </w:tcMar>
            <w:shd w:fill="005F73"/>
          </w:tcPr>
          <w:p>
            <w:pPr>
              <w:jc w:val="center"/>
            </w:pPr>
            <w:r>
              <w:rPr>
                <w:b/>
                <w:color w:val="FFFFFF"/>
                <w:sz w:val="19"/>
              </w:rPr>
              <w:t>Bl.chromatin</w:t>
            </w:r>
          </w:p>
        </w:tc>
        <w:tc>
          <w:tcPr>
            <w:tcW w:type="dxa" w:w="1040"/>
            <w:tcMar>
              <w:top w:w="80" w:type="dxa"/>
              <w:bottom w:w="80" w:type="dxa"/>
              <w:left w:w="100" w:type="dxa"/>
              <w:right w:w="100" w:type="dxa"/>
            </w:tcMar>
            <w:shd w:fill="005F73"/>
          </w:tcPr>
          <w:p>
            <w:pPr>
              <w:jc w:val="center"/>
            </w:pPr>
            <w:r>
              <w:rPr>
                <w:b/>
                <w:color w:val="FFFFFF"/>
                <w:sz w:val="19"/>
              </w:rPr>
              <w:t>Normal.nucleoli</w:t>
            </w:r>
          </w:p>
        </w:tc>
        <w:tc>
          <w:tcPr>
            <w:tcW w:type="dxa" w:w="1040"/>
            <w:tcMar>
              <w:top w:w="80" w:type="dxa"/>
              <w:bottom w:w="80" w:type="dxa"/>
              <w:left w:w="100" w:type="dxa"/>
              <w:right w:w="100" w:type="dxa"/>
            </w:tcMar>
            <w:shd w:fill="005F73"/>
          </w:tcPr>
          <w:p>
            <w:pPr>
              <w:jc w:val="center"/>
            </w:pPr>
            <w:r>
              <w:rPr>
                <w:b/>
                <w:color w:val="FFFFFF"/>
                <w:sz w:val="19"/>
              </w:rPr>
              <w:t>Mitoses</w:t>
            </w:r>
          </w:p>
        </w:tc>
      </w:tr>
      <w:tr>
        <w:tc>
          <w:tcPr>
            <w:tcW w:type="dxa" w:w="1040"/>
            <w:tcMar>
              <w:top w:w="80" w:type="dxa"/>
              <w:bottom w:w="80" w:type="dxa"/>
              <w:left w:w="100" w:type="dxa"/>
              <w:right w:w="100" w:type="dxa"/>
            </w:tcMar>
          </w:tcPr>
          <w:p>
            <w:pPr>
              <w:jc w:val="center"/>
            </w:pPr>
            <w:r>
              <w:rPr>
                <w:sz w:val="19"/>
              </w:rPr>
              <w:t>5</w:t>
            </w:r>
          </w:p>
        </w:tc>
        <w:tc>
          <w:tcPr>
            <w:tcW w:type="dxa" w:w="1040"/>
            <w:tcMar>
              <w:top w:w="80" w:type="dxa"/>
              <w:bottom w:w="80" w:type="dxa"/>
              <w:left w:w="100" w:type="dxa"/>
              <w:right w:w="100" w:type="dxa"/>
            </w:tcMar>
          </w:tcPr>
          <w:p>
            <w:pPr>
              <w:jc w:val="center"/>
            </w:pPr>
            <w:r>
              <w:rPr>
                <w:sz w:val="19"/>
              </w:rPr>
              <w:t>1</w:t>
            </w:r>
          </w:p>
        </w:tc>
        <w:tc>
          <w:tcPr>
            <w:tcW w:type="dxa" w:w="1040"/>
            <w:tcMar>
              <w:top w:w="80" w:type="dxa"/>
              <w:bottom w:w="80" w:type="dxa"/>
              <w:left w:w="100" w:type="dxa"/>
              <w:right w:w="100" w:type="dxa"/>
            </w:tcMar>
          </w:tcPr>
          <w:p>
            <w:pPr>
              <w:jc w:val="center"/>
            </w:pPr>
            <w:r>
              <w:rPr>
                <w:sz w:val="19"/>
              </w:rPr>
              <w:t>1</w:t>
            </w:r>
          </w:p>
        </w:tc>
        <w:tc>
          <w:tcPr>
            <w:tcW w:type="dxa" w:w="1040"/>
            <w:tcMar>
              <w:top w:w="80" w:type="dxa"/>
              <w:bottom w:w="80" w:type="dxa"/>
              <w:left w:w="100" w:type="dxa"/>
              <w:right w:w="100" w:type="dxa"/>
            </w:tcMar>
          </w:tcPr>
          <w:p>
            <w:pPr>
              <w:jc w:val="center"/>
            </w:pPr>
            <w:r>
              <w:rPr>
                <w:sz w:val="19"/>
              </w:rPr>
              <w:t>1</w:t>
            </w:r>
          </w:p>
        </w:tc>
        <w:tc>
          <w:tcPr>
            <w:tcW w:type="dxa" w:w="1040"/>
            <w:tcMar>
              <w:top w:w="80" w:type="dxa"/>
              <w:bottom w:w="80" w:type="dxa"/>
              <w:left w:w="100" w:type="dxa"/>
              <w:right w:w="100" w:type="dxa"/>
            </w:tcMar>
          </w:tcPr>
          <w:p>
            <w:pPr>
              <w:jc w:val="center"/>
            </w:pPr>
            <w:r>
              <w:rPr>
                <w:sz w:val="19"/>
              </w:rPr>
              <w:t>2</w:t>
            </w:r>
          </w:p>
        </w:tc>
        <w:tc>
          <w:tcPr>
            <w:tcW w:type="dxa" w:w="1040"/>
            <w:tcMar>
              <w:top w:w="80" w:type="dxa"/>
              <w:bottom w:w="80" w:type="dxa"/>
              <w:left w:w="100" w:type="dxa"/>
              <w:right w:w="100" w:type="dxa"/>
            </w:tcMar>
          </w:tcPr>
          <w:p>
            <w:pPr>
              <w:jc w:val="center"/>
            </w:pPr>
            <w:r>
              <w:rPr>
                <w:sz w:val="19"/>
              </w:rPr>
              <w:t>1</w:t>
            </w:r>
          </w:p>
        </w:tc>
        <w:tc>
          <w:tcPr>
            <w:tcW w:type="dxa" w:w="1040"/>
            <w:tcMar>
              <w:top w:w="80" w:type="dxa"/>
              <w:bottom w:w="80" w:type="dxa"/>
              <w:left w:w="100" w:type="dxa"/>
              <w:right w:w="100" w:type="dxa"/>
            </w:tcMar>
          </w:tcPr>
          <w:p>
            <w:pPr>
              <w:jc w:val="center"/>
            </w:pPr>
            <w:r>
              <w:rPr>
                <w:sz w:val="19"/>
              </w:rPr>
              <w:t>3</w:t>
            </w:r>
          </w:p>
        </w:tc>
        <w:tc>
          <w:tcPr>
            <w:tcW w:type="dxa" w:w="1040"/>
            <w:tcMar>
              <w:top w:w="80" w:type="dxa"/>
              <w:bottom w:w="80" w:type="dxa"/>
              <w:left w:w="100" w:type="dxa"/>
              <w:right w:w="100" w:type="dxa"/>
            </w:tcMar>
          </w:tcPr>
          <w:p>
            <w:pPr>
              <w:jc w:val="center"/>
            </w:pPr>
            <w:r>
              <w:rPr>
                <w:sz w:val="19"/>
              </w:rPr>
              <w:t>1</w:t>
            </w:r>
          </w:p>
        </w:tc>
        <w:tc>
          <w:tcPr>
            <w:tcW w:type="dxa" w:w="1040"/>
            <w:tcMar>
              <w:top w:w="80" w:type="dxa"/>
              <w:bottom w:w="80" w:type="dxa"/>
              <w:left w:w="100" w:type="dxa"/>
              <w:right w:w="100" w:type="dxa"/>
            </w:tcMar>
          </w:tcPr>
          <w:p>
            <w:pPr>
              <w:jc w:val="center"/>
            </w:pPr>
            <w:r>
              <w:rPr>
                <w:sz w:val="19"/>
              </w:rPr>
              <w:t>1</w:t>
            </w:r>
          </w:p>
        </w:tc>
      </w:tr>
      <w:tr>
        <w:tc>
          <w:tcPr>
            <w:tcW w:type="dxa" w:w="1040"/>
            <w:tcMar>
              <w:top w:w="80" w:type="dxa"/>
              <w:bottom w:w="80" w:type="dxa"/>
              <w:left w:w="100" w:type="dxa"/>
              <w:right w:w="100" w:type="dxa"/>
            </w:tcMar>
            <w:shd w:fill="F4F6F6"/>
          </w:tcPr>
          <w:p>
            <w:pPr>
              <w:jc w:val="center"/>
            </w:pPr>
            <w:r>
              <w:rPr>
                <w:sz w:val="19"/>
              </w:rPr>
              <w:t>5</w:t>
            </w:r>
          </w:p>
        </w:tc>
        <w:tc>
          <w:tcPr>
            <w:tcW w:type="dxa" w:w="1040"/>
            <w:tcMar>
              <w:top w:w="80" w:type="dxa"/>
              <w:bottom w:w="80" w:type="dxa"/>
              <w:left w:w="100" w:type="dxa"/>
              <w:right w:w="100" w:type="dxa"/>
            </w:tcMar>
            <w:shd w:fill="F4F6F6"/>
          </w:tcPr>
          <w:p>
            <w:pPr>
              <w:jc w:val="center"/>
            </w:pPr>
            <w:r>
              <w:rPr>
                <w:sz w:val="19"/>
              </w:rPr>
              <w:t>4</w:t>
            </w:r>
          </w:p>
        </w:tc>
        <w:tc>
          <w:tcPr>
            <w:tcW w:type="dxa" w:w="1040"/>
            <w:tcMar>
              <w:top w:w="80" w:type="dxa"/>
              <w:bottom w:w="80" w:type="dxa"/>
              <w:left w:w="100" w:type="dxa"/>
              <w:right w:w="100" w:type="dxa"/>
            </w:tcMar>
            <w:shd w:fill="F4F6F6"/>
          </w:tcPr>
          <w:p>
            <w:pPr>
              <w:jc w:val="center"/>
            </w:pPr>
            <w:r>
              <w:rPr>
                <w:sz w:val="19"/>
              </w:rPr>
              <w:t>4</w:t>
            </w:r>
          </w:p>
        </w:tc>
        <w:tc>
          <w:tcPr>
            <w:tcW w:type="dxa" w:w="1040"/>
            <w:tcMar>
              <w:top w:w="80" w:type="dxa"/>
              <w:bottom w:w="80" w:type="dxa"/>
              <w:left w:w="100" w:type="dxa"/>
              <w:right w:w="100" w:type="dxa"/>
            </w:tcMar>
            <w:shd w:fill="F4F6F6"/>
          </w:tcPr>
          <w:p>
            <w:pPr>
              <w:jc w:val="center"/>
            </w:pPr>
            <w:r>
              <w:rPr>
                <w:sz w:val="19"/>
              </w:rPr>
              <w:t>5</w:t>
            </w:r>
          </w:p>
        </w:tc>
        <w:tc>
          <w:tcPr>
            <w:tcW w:type="dxa" w:w="1040"/>
            <w:tcMar>
              <w:top w:w="80" w:type="dxa"/>
              <w:bottom w:w="80" w:type="dxa"/>
              <w:left w:w="100" w:type="dxa"/>
              <w:right w:w="100" w:type="dxa"/>
            </w:tcMar>
            <w:shd w:fill="F4F6F6"/>
          </w:tcPr>
          <w:p>
            <w:pPr>
              <w:jc w:val="center"/>
            </w:pPr>
            <w:r>
              <w:rPr>
                <w:sz w:val="19"/>
              </w:rPr>
              <w:t>7</w:t>
            </w:r>
          </w:p>
        </w:tc>
        <w:tc>
          <w:tcPr>
            <w:tcW w:type="dxa" w:w="1040"/>
            <w:tcMar>
              <w:top w:w="80" w:type="dxa"/>
              <w:bottom w:w="80" w:type="dxa"/>
              <w:left w:w="100" w:type="dxa"/>
              <w:right w:w="100" w:type="dxa"/>
            </w:tcMar>
            <w:shd w:fill="F4F6F6"/>
          </w:tcPr>
          <w:p>
            <w:pPr>
              <w:jc w:val="center"/>
            </w:pPr>
            <w:r>
              <w:rPr>
                <w:sz w:val="19"/>
              </w:rPr>
              <w:t>10</w:t>
            </w:r>
          </w:p>
        </w:tc>
        <w:tc>
          <w:tcPr>
            <w:tcW w:type="dxa" w:w="1040"/>
            <w:tcMar>
              <w:top w:w="80" w:type="dxa"/>
              <w:bottom w:w="80" w:type="dxa"/>
              <w:left w:w="100" w:type="dxa"/>
              <w:right w:w="100" w:type="dxa"/>
            </w:tcMar>
            <w:shd w:fill="F4F6F6"/>
          </w:tcPr>
          <w:p>
            <w:pPr>
              <w:jc w:val="center"/>
            </w:pPr>
            <w:r>
              <w:rPr>
                <w:sz w:val="19"/>
              </w:rPr>
              <w:t>3</w:t>
            </w:r>
          </w:p>
        </w:tc>
        <w:tc>
          <w:tcPr>
            <w:tcW w:type="dxa" w:w="1040"/>
            <w:tcMar>
              <w:top w:w="80" w:type="dxa"/>
              <w:bottom w:w="80" w:type="dxa"/>
              <w:left w:w="100" w:type="dxa"/>
              <w:right w:w="100" w:type="dxa"/>
            </w:tcMar>
            <w:shd w:fill="F4F6F6"/>
          </w:tcPr>
          <w:p>
            <w:pPr>
              <w:jc w:val="center"/>
            </w:pPr>
            <w:r>
              <w:rPr>
                <w:sz w:val="19"/>
              </w:rPr>
              <w:t>2</w:t>
            </w:r>
          </w:p>
        </w:tc>
        <w:tc>
          <w:tcPr>
            <w:tcW w:type="dxa" w:w="1040"/>
            <w:tcMar>
              <w:top w:w="80" w:type="dxa"/>
              <w:bottom w:w="80" w:type="dxa"/>
              <w:left w:w="100" w:type="dxa"/>
              <w:right w:w="100" w:type="dxa"/>
            </w:tcMar>
            <w:shd w:fill="F4F6F6"/>
          </w:tcPr>
          <w:p>
            <w:pPr>
              <w:jc w:val="center"/>
            </w:pPr>
            <w:r>
              <w:rPr>
                <w:sz w:val="19"/>
              </w:rPr>
              <w:t>1</w:t>
            </w:r>
          </w:p>
        </w:tc>
      </w:tr>
      <w:tr>
        <w:tc>
          <w:tcPr>
            <w:tcW w:type="dxa" w:w="1040"/>
            <w:tcMar>
              <w:top w:w="80" w:type="dxa"/>
              <w:bottom w:w="80" w:type="dxa"/>
              <w:left w:w="100" w:type="dxa"/>
              <w:right w:w="100" w:type="dxa"/>
            </w:tcMar>
          </w:tcPr>
          <w:p>
            <w:pPr>
              <w:jc w:val="center"/>
            </w:pPr>
            <w:r>
              <w:rPr>
                <w:sz w:val="19"/>
              </w:rPr>
              <w:t>3</w:t>
            </w:r>
          </w:p>
        </w:tc>
        <w:tc>
          <w:tcPr>
            <w:tcW w:type="dxa" w:w="1040"/>
            <w:tcMar>
              <w:top w:w="80" w:type="dxa"/>
              <w:bottom w:w="80" w:type="dxa"/>
              <w:left w:w="100" w:type="dxa"/>
              <w:right w:w="100" w:type="dxa"/>
            </w:tcMar>
          </w:tcPr>
          <w:p>
            <w:pPr>
              <w:jc w:val="center"/>
            </w:pPr>
            <w:r>
              <w:rPr>
                <w:sz w:val="19"/>
              </w:rPr>
              <w:t>1</w:t>
            </w:r>
          </w:p>
        </w:tc>
        <w:tc>
          <w:tcPr>
            <w:tcW w:type="dxa" w:w="1040"/>
            <w:tcMar>
              <w:top w:w="80" w:type="dxa"/>
              <w:bottom w:w="80" w:type="dxa"/>
              <w:left w:w="100" w:type="dxa"/>
              <w:right w:w="100" w:type="dxa"/>
            </w:tcMar>
          </w:tcPr>
          <w:p>
            <w:pPr>
              <w:jc w:val="center"/>
            </w:pPr>
            <w:r>
              <w:rPr>
                <w:sz w:val="19"/>
              </w:rPr>
              <w:t>1</w:t>
            </w:r>
          </w:p>
        </w:tc>
        <w:tc>
          <w:tcPr>
            <w:tcW w:type="dxa" w:w="1040"/>
            <w:tcMar>
              <w:top w:w="80" w:type="dxa"/>
              <w:bottom w:w="80" w:type="dxa"/>
              <w:left w:w="100" w:type="dxa"/>
              <w:right w:w="100" w:type="dxa"/>
            </w:tcMar>
          </w:tcPr>
          <w:p>
            <w:pPr>
              <w:jc w:val="center"/>
            </w:pPr>
            <w:r>
              <w:rPr>
                <w:sz w:val="19"/>
              </w:rPr>
              <w:t>1</w:t>
            </w:r>
          </w:p>
        </w:tc>
        <w:tc>
          <w:tcPr>
            <w:tcW w:type="dxa" w:w="1040"/>
            <w:tcMar>
              <w:top w:w="80" w:type="dxa"/>
              <w:bottom w:w="80" w:type="dxa"/>
              <w:left w:w="100" w:type="dxa"/>
              <w:right w:w="100" w:type="dxa"/>
            </w:tcMar>
          </w:tcPr>
          <w:p>
            <w:pPr>
              <w:jc w:val="center"/>
            </w:pPr>
            <w:r>
              <w:rPr>
                <w:sz w:val="19"/>
              </w:rPr>
              <w:t>2</w:t>
            </w:r>
          </w:p>
        </w:tc>
        <w:tc>
          <w:tcPr>
            <w:tcW w:type="dxa" w:w="1040"/>
            <w:tcMar>
              <w:top w:w="80" w:type="dxa"/>
              <w:bottom w:w="80" w:type="dxa"/>
              <w:left w:w="100" w:type="dxa"/>
              <w:right w:w="100" w:type="dxa"/>
            </w:tcMar>
          </w:tcPr>
          <w:p>
            <w:pPr>
              <w:jc w:val="center"/>
            </w:pPr>
            <w:r>
              <w:rPr>
                <w:sz w:val="19"/>
              </w:rPr>
              <w:t>2</w:t>
            </w:r>
          </w:p>
        </w:tc>
        <w:tc>
          <w:tcPr>
            <w:tcW w:type="dxa" w:w="1040"/>
            <w:tcMar>
              <w:top w:w="80" w:type="dxa"/>
              <w:bottom w:w="80" w:type="dxa"/>
              <w:left w:w="100" w:type="dxa"/>
              <w:right w:w="100" w:type="dxa"/>
            </w:tcMar>
          </w:tcPr>
          <w:p>
            <w:pPr>
              <w:jc w:val="center"/>
            </w:pPr>
            <w:r>
              <w:rPr>
                <w:sz w:val="19"/>
              </w:rPr>
              <w:t>3</w:t>
            </w:r>
          </w:p>
        </w:tc>
        <w:tc>
          <w:tcPr>
            <w:tcW w:type="dxa" w:w="1040"/>
            <w:tcMar>
              <w:top w:w="80" w:type="dxa"/>
              <w:bottom w:w="80" w:type="dxa"/>
              <w:left w:w="100" w:type="dxa"/>
              <w:right w:w="100" w:type="dxa"/>
            </w:tcMar>
          </w:tcPr>
          <w:p>
            <w:pPr>
              <w:jc w:val="center"/>
            </w:pPr>
            <w:r>
              <w:rPr>
                <w:sz w:val="19"/>
              </w:rPr>
              <w:t>1</w:t>
            </w:r>
          </w:p>
        </w:tc>
        <w:tc>
          <w:tcPr>
            <w:tcW w:type="dxa" w:w="1040"/>
            <w:tcMar>
              <w:top w:w="80" w:type="dxa"/>
              <w:bottom w:w="80" w:type="dxa"/>
              <w:left w:w="100" w:type="dxa"/>
              <w:right w:w="100" w:type="dxa"/>
            </w:tcMar>
          </w:tcPr>
          <w:p>
            <w:pPr>
              <w:jc w:val="center"/>
            </w:pPr>
            <w:r>
              <w:rPr>
                <w:sz w:val="19"/>
              </w:rPr>
              <w:t>1</w:t>
            </w:r>
          </w:p>
        </w:tc>
      </w:tr>
      <w:tr>
        <w:tc>
          <w:tcPr>
            <w:tcW w:type="dxa" w:w="1040"/>
            <w:tcMar>
              <w:top w:w="80" w:type="dxa"/>
              <w:bottom w:w="80" w:type="dxa"/>
              <w:left w:w="100" w:type="dxa"/>
              <w:right w:w="100" w:type="dxa"/>
            </w:tcMar>
            <w:shd w:fill="F4F6F6"/>
          </w:tcPr>
          <w:p>
            <w:pPr>
              <w:jc w:val="center"/>
            </w:pPr>
            <w:r>
              <w:rPr>
                <w:sz w:val="19"/>
              </w:rPr>
              <w:t>6</w:t>
            </w:r>
          </w:p>
        </w:tc>
        <w:tc>
          <w:tcPr>
            <w:tcW w:type="dxa" w:w="1040"/>
            <w:tcMar>
              <w:top w:w="80" w:type="dxa"/>
              <w:bottom w:w="80" w:type="dxa"/>
              <w:left w:w="100" w:type="dxa"/>
              <w:right w:w="100" w:type="dxa"/>
            </w:tcMar>
            <w:shd w:fill="F4F6F6"/>
          </w:tcPr>
          <w:p>
            <w:pPr>
              <w:jc w:val="center"/>
            </w:pPr>
            <w:r>
              <w:rPr>
                <w:sz w:val="19"/>
              </w:rPr>
              <w:t>8</w:t>
            </w:r>
          </w:p>
        </w:tc>
        <w:tc>
          <w:tcPr>
            <w:tcW w:type="dxa" w:w="1040"/>
            <w:tcMar>
              <w:top w:w="80" w:type="dxa"/>
              <w:bottom w:w="80" w:type="dxa"/>
              <w:left w:w="100" w:type="dxa"/>
              <w:right w:w="100" w:type="dxa"/>
            </w:tcMar>
            <w:shd w:fill="F4F6F6"/>
          </w:tcPr>
          <w:p>
            <w:pPr>
              <w:jc w:val="center"/>
            </w:pPr>
            <w:r>
              <w:rPr>
                <w:sz w:val="19"/>
              </w:rPr>
              <w:t>8</w:t>
            </w:r>
          </w:p>
        </w:tc>
        <w:tc>
          <w:tcPr>
            <w:tcW w:type="dxa" w:w="1040"/>
            <w:tcMar>
              <w:top w:w="80" w:type="dxa"/>
              <w:bottom w:w="80" w:type="dxa"/>
              <w:left w:w="100" w:type="dxa"/>
              <w:right w:w="100" w:type="dxa"/>
            </w:tcMar>
            <w:shd w:fill="F4F6F6"/>
          </w:tcPr>
          <w:p>
            <w:pPr>
              <w:jc w:val="center"/>
            </w:pPr>
            <w:r>
              <w:rPr>
                <w:sz w:val="19"/>
              </w:rPr>
              <w:t>1</w:t>
            </w:r>
          </w:p>
        </w:tc>
        <w:tc>
          <w:tcPr>
            <w:tcW w:type="dxa" w:w="1040"/>
            <w:tcMar>
              <w:top w:w="80" w:type="dxa"/>
              <w:bottom w:w="80" w:type="dxa"/>
              <w:left w:w="100" w:type="dxa"/>
              <w:right w:w="100" w:type="dxa"/>
            </w:tcMar>
            <w:shd w:fill="F4F6F6"/>
          </w:tcPr>
          <w:p>
            <w:pPr>
              <w:jc w:val="center"/>
            </w:pPr>
            <w:r>
              <w:rPr>
                <w:sz w:val="19"/>
              </w:rPr>
              <w:t>3</w:t>
            </w:r>
          </w:p>
        </w:tc>
        <w:tc>
          <w:tcPr>
            <w:tcW w:type="dxa" w:w="1040"/>
            <w:tcMar>
              <w:top w:w="80" w:type="dxa"/>
              <w:bottom w:w="80" w:type="dxa"/>
              <w:left w:w="100" w:type="dxa"/>
              <w:right w:w="100" w:type="dxa"/>
            </w:tcMar>
            <w:shd w:fill="F4F6F6"/>
          </w:tcPr>
          <w:p>
            <w:pPr>
              <w:jc w:val="center"/>
            </w:pPr>
            <w:r>
              <w:rPr>
                <w:sz w:val="19"/>
              </w:rPr>
              <w:t>4</w:t>
            </w:r>
          </w:p>
        </w:tc>
        <w:tc>
          <w:tcPr>
            <w:tcW w:type="dxa" w:w="1040"/>
            <w:tcMar>
              <w:top w:w="80" w:type="dxa"/>
              <w:bottom w:w="80" w:type="dxa"/>
              <w:left w:w="100" w:type="dxa"/>
              <w:right w:w="100" w:type="dxa"/>
            </w:tcMar>
            <w:shd w:fill="F4F6F6"/>
          </w:tcPr>
          <w:p>
            <w:pPr>
              <w:jc w:val="center"/>
            </w:pPr>
            <w:r>
              <w:rPr>
                <w:sz w:val="19"/>
              </w:rPr>
              <w:t>3</w:t>
            </w:r>
          </w:p>
        </w:tc>
        <w:tc>
          <w:tcPr>
            <w:tcW w:type="dxa" w:w="1040"/>
            <w:tcMar>
              <w:top w:w="80" w:type="dxa"/>
              <w:bottom w:w="80" w:type="dxa"/>
              <w:left w:w="100" w:type="dxa"/>
              <w:right w:w="100" w:type="dxa"/>
            </w:tcMar>
            <w:shd w:fill="F4F6F6"/>
          </w:tcPr>
          <w:p>
            <w:pPr>
              <w:jc w:val="center"/>
            </w:pPr>
            <w:r>
              <w:rPr>
                <w:sz w:val="19"/>
              </w:rPr>
              <w:t>7</w:t>
            </w:r>
          </w:p>
        </w:tc>
        <w:tc>
          <w:tcPr>
            <w:tcW w:type="dxa" w:w="1040"/>
            <w:tcMar>
              <w:top w:w="80" w:type="dxa"/>
              <w:bottom w:w="80" w:type="dxa"/>
              <w:left w:w="100" w:type="dxa"/>
              <w:right w:w="100" w:type="dxa"/>
            </w:tcMar>
            <w:shd w:fill="F4F6F6"/>
          </w:tcPr>
          <w:p>
            <w:pPr>
              <w:jc w:val="center"/>
            </w:pPr>
            <w:r>
              <w:rPr>
                <w:sz w:val="19"/>
              </w:rPr>
              <w:t>1</w:t>
            </w:r>
          </w:p>
        </w:tc>
      </w:tr>
      <w:tr>
        <w:tc>
          <w:tcPr>
            <w:tcW w:type="dxa" w:w="1040"/>
            <w:tcMar>
              <w:top w:w="80" w:type="dxa"/>
              <w:bottom w:w="80" w:type="dxa"/>
              <w:left w:w="100" w:type="dxa"/>
              <w:right w:w="100" w:type="dxa"/>
            </w:tcMar>
          </w:tcPr>
          <w:p>
            <w:pPr>
              <w:jc w:val="center"/>
            </w:pPr>
            <w:r>
              <w:rPr>
                <w:sz w:val="19"/>
              </w:rPr>
              <w:t>4</w:t>
            </w:r>
          </w:p>
        </w:tc>
        <w:tc>
          <w:tcPr>
            <w:tcW w:type="dxa" w:w="1040"/>
            <w:tcMar>
              <w:top w:w="80" w:type="dxa"/>
              <w:bottom w:w="80" w:type="dxa"/>
              <w:left w:w="100" w:type="dxa"/>
              <w:right w:w="100" w:type="dxa"/>
            </w:tcMar>
          </w:tcPr>
          <w:p>
            <w:pPr>
              <w:jc w:val="center"/>
            </w:pPr>
            <w:r>
              <w:rPr>
                <w:sz w:val="19"/>
              </w:rPr>
              <w:t>1</w:t>
            </w:r>
          </w:p>
        </w:tc>
        <w:tc>
          <w:tcPr>
            <w:tcW w:type="dxa" w:w="1040"/>
            <w:tcMar>
              <w:top w:w="80" w:type="dxa"/>
              <w:bottom w:w="80" w:type="dxa"/>
              <w:left w:w="100" w:type="dxa"/>
              <w:right w:w="100" w:type="dxa"/>
            </w:tcMar>
          </w:tcPr>
          <w:p>
            <w:pPr>
              <w:jc w:val="center"/>
            </w:pPr>
            <w:r>
              <w:rPr>
                <w:sz w:val="19"/>
              </w:rPr>
              <w:t>1</w:t>
            </w:r>
          </w:p>
        </w:tc>
        <w:tc>
          <w:tcPr>
            <w:tcW w:type="dxa" w:w="1040"/>
            <w:tcMar>
              <w:top w:w="80" w:type="dxa"/>
              <w:bottom w:w="80" w:type="dxa"/>
              <w:left w:w="100" w:type="dxa"/>
              <w:right w:w="100" w:type="dxa"/>
            </w:tcMar>
          </w:tcPr>
          <w:p>
            <w:pPr>
              <w:jc w:val="center"/>
            </w:pPr>
            <w:r>
              <w:rPr>
                <w:sz w:val="19"/>
              </w:rPr>
              <w:t>3</w:t>
            </w:r>
          </w:p>
        </w:tc>
        <w:tc>
          <w:tcPr>
            <w:tcW w:type="dxa" w:w="1040"/>
            <w:tcMar>
              <w:top w:w="80" w:type="dxa"/>
              <w:bottom w:w="80" w:type="dxa"/>
              <w:left w:w="100" w:type="dxa"/>
              <w:right w:w="100" w:type="dxa"/>
            </w:tcMar>
          </w:tcPr>
          <w:p>
            <w:pPr>
              <w:jc w:val="center"/>
            </w:pPr>
            <w:r>
              <w:rPr>
                <w:sz w:val="19"/>
              </w:rPr>
              <w:t>2</w:t>
            </w:r>
          </w:p>
        </w:tc>
        <w:tc>
          <w:tcPr>
            <w:tcW w:type="dxa" w:w="1040"/>
            <w:tcMar>
              <w:top w:w="80" w:type="dxa"/>
              <w:bottom w:w="80" w:type="dxa"/>
              <w:left w:w="100" w:type="dxa"/>
              <w:right w:w="100" w:type="dxa"/>
            </w:tcMar>
          </w:tcPr>
          <w:p>
            <w:pPr>
              <w:jc w:val="center"/>
            </w:pPr>
            <w:r>
              <w:rPr>
                <w:sz w:val="19"/>
              </w:rPr>
              <w:t>1</w:t>
            </w:r>
          </w:p>
        </w:tc>
        <w:tc>
          <w:tcPr>
            <w:tcW w:type="dxa" w:w="1040"/>
            <w:tcMar>
              <w:top w:w="80" w:type="dxa"/>
              <w:bottom w:w="80" w:type="dxa"/>
              <w:left w:w="100" w:type="dxa"/>
              <w:right w:w="100" w:type="dxa"/>
            </w:tcMar>
          </w:tcPr>
          <w:p>
            <w:pPr>
              <w:jc w:val="center"/>
            </w:pPr>
            <w:r>
              <w:rPr>
                <w:sz w:val="19"/>
              </w:rPr>
              <w:t>3</w:t>
            </w:r>
          </w:p>
        </w:tc>
        <w:tc>
          <w:tcPr>
            <w:tcW w:type="dxa" w:w="1040"/>
            <w:tcMar>
              <w:top w:w="80" w:type="dxa"/>
              <w:bottom w:w="80" w:type="dxa"/>
              <w:left w:w="100" w:type="dxa"/>
              <w:right w:w="100" w:type="dxa"/>
            </w:tcMar>
          </w:tcPr>
          <w:p>
            <w:pPr>
              <w:jc w:val="center"/>
            </w:pPr>
            <w:r>
              <w:rPr>
                <w:sz w:val="19"/>
              </w:rPr>
              <w:t>1</w:t>
            </w:r>
          </w:p>
        </w:tc>
        <w:tc>
          <w:tcPr>
            <w:tcW w:type="dxa" w:w="1040"/>
            <w:tcMar>
              <w:top w:w="80" w:type="dxa"/>
              <w:bottom w:w="80" w:type="dxa"/>
              <w:left w:w="100" w:type="dxa"/>
              <w:right w:w="100" w:type="dxa"/>
            </w:tcMar>
          </w:tcPr>
          <w:p>
            <w:pPr>
              <w:jc w:val="center"/>
            </w:pPr>
            <w:r>
              <w:rPr>
                <w:sz w:val="19"/>
              </w:rPr>
              <w:t>1</w:t>
            </w:r>
          </w:p>
        </w:tc>
      </w:tr>
    </w:tbl>
    <w:p>
      <w:pPr>
        <w:spacing w:after="240"/>
      </w:pPr>
    </w:p>
    <w:p>
      <w:pPr>
        <w:keepNext/>
        <w:spacing w:before="240" w:after="120"/>
      </w:pPr>
      <w:r>
        <w:rPr>
          <w:rFonts w:ascii="Calibri" w:hAnsi="Calibri"/>
          <w:b/>
          <w:color w:val="005F73"/>
          <w:sz w:val="36"/>
        </w:rPr>
        <w:t>3. Exploratory Data Analysis (EDA)</w:t>
      </w:r>
    </w:p>
    <w:p>
      <w:pPr>
        <w:spacing w:before="0" w:after="160"/>
        <w:pBdr>
          <w:bottom w:val="single" w:sz="12" w:space="1" w:color="005F73"/>
        </w:pBdr>
      </w:pPr>
    </w:p>
    <w:p>
      <w:pPr>
        <w:keepNext/>
        <w:spacing w:before="240" w:after="120"/>
      </w:pPr>
      <w:r>
        <w:rPr>
          <w:rFonts w:ascii="Calibri" w:hAnsi="Calibri"/>
          <w:b/>
          <w:color w:val="0A9396"/>
          <w:sz w:val="28"/>
        </w:rPr>
        <w:t>3.1 Class Distribution</w:t>
      </w:r>
    </w:p>
    <w:p>
      <w:r>
        <w:t>The dataset exhibits a moderate class imbalance with a higher prevalence of benign samples. However, the distribution (~65% benign to ~35% malignant) is balanced enough to train a robust Random Forest classifier without requiring intensive synthetic resampling techniques (like SMOTE).</w:t>
      </w:r>
    </w:p>
    <w:p>
      <w:pPr>
        <w:jc w:val="center"/>
      </w:pPr>
      <w:r>
        <w:drawing>
          <wp:inline xmlns:a="http://schemas.openxmlformats.org/drawingml/2006/main" xmlns:pic="http://schemas.openxmlformats.org/drawingml/2006/picture">
            <wp:extent cx="3657600" cy="256032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3657600" cy="2560320"/>
                    </a:xfrm>
                    <a:prstGeom prst="rect"/>
                  </pic:spPr>
                </pic:pic>
              </a:graphicData>
            </a:graphic>
          </wp:inline>
        </w:drawing>
      </w:r>
    </w:p>
    <w:p>
      <w:pPr>
        <w:jc w:val="center"/>
      </w:pPr>
      <w:r>
        <w:rPr>
          <w:i/>
          <w:sz w:val="19"/>
        </w:rPr>
        <w:t>Figure 3.1: Analysis of target label distribution.</w:t>
      </w:r>
    </w:p>
    <w:p>
      <w:pPr>
        <w:keepNext/>
        <w:spacing w:before="240" w:after="120"/>
      </w:pPr>
      <w:r>
        <w:rPr>
          <w:rFonts w:ascii="Calibri" w:hAnsi="Calibri"/>
          <w:b/>
          <w:color w:val="0A9396"/>
          <w:sz w:val="28"/>
        </w:rPr>
        <w:t>3.2 Feature Distributions (by Class)</w:t>
      </w:r>
    </w:p>
    <w:p>
      <w:r>
        <w:t>Exploration of top-ranked attributes (Cl.thickness, Cell.size, Cell.shape, Marg.adhesion) across classes reveals clear patterns. Malignant tumors consistently exhibit shifted distributions towards significantly higher nuclear scoring values, whereas benign samples are highly concentrated at lower values.</w:t>
      </w:r>
    </w:p>
    <w:p>
      <w:pPr>
        <w:jc w:val="center"/>
      </w:pPr>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feature_distributions.png"/>
                    <pic:cNvPicPr/>
                  </pic:nvPicPr>
                  <pic:blipFill>
                    <a:blip r:embed="rId10"/>
                    <a:stretch>
                      <a:fillRect/>
                    </a:stretch>
                  </pic:blipFill>
                  <pic:spPr>
                    <a:xfrm>
                      <a:off x="0" y="0"/>
                      <a:ext cx="5029200" cy="4023360"/>
                    </a:xfrm>
                    <a:prstGeom prst="rect"/>
                  </pic:spPr>
                </pic:pic>
              </a:graphicData>
            </a:graphic>
          </wp:inline>
        </w:drawing>
      </w:r>
    </w:p>
    <w:p>
      <w:pPr>
        <w:jc w:val="center"/>
      </w:pPr>
      <w:r>
        <w:rPr>
          <w:i/>
          <w:sz w:val="19"/>
        </w:rPr>
        <w:t>Figure 3.2: 2x2 Histogram grid showing cellular feature densities separated by malignancy.</w:t>
      </w:r>
    </w:p>
    <w:p>
      <w:pPr>
        <w:keepNext/>
        <w:spacing w:before="240" w:after="120"/>
      </w:pPr>
      <w:r>
        <w:rPr>
          <w:rFonts w:ascii="Calibri" w:hAnsi="Calibri"/>
          <w:b/>
          <w:color w:val="0A9396"/>
          <w:sz w:val="28"/>
        </w:rPr>
        <w:t>3.3 Correlation Heatmap</w:t>
      </w:r>
    </w:p>
    <w:p>
      <w:r>
        <w:t>A pairwise correlation analysis confirms strong linear and non-linear associations among structural feature pairs (e.g., Cell Size and Cell Shape show a correlation of 0.91). While multicollinearity is present, the ensemble nature of Random Forests effectively manages highly correlated features without variance inflation.</w:t>
      </w:r>
    </w:p>
    <w:p>
      <w:pPr>
        <w:jc w:val="center"/>
      </w:pPr>
      <w:r>
        <w:drawing>
          <wp:inline xmlns:a="http://schemas.openxmlformats.org/drawingml/2006/main" xmlns:pic="http://schemas.openxmlformats.org/drawingml/2006/picture">
            <wp:extent cx="4389120" cy="365760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4389120" cy="3657600"/>
                    </a:xfrm>
                    <a:prstGeom prst="rect"/>
                  </pic:spPr>
                </pic:pic>
              </a:graphicData>
            </a:graphic>
          </wp:inline>
        </w:drawing>
      </w:r>
    </w:p>
    <w:p>
      <w:pPr>
        <w:jc w:val="center"/>
      </w:pPr>
      <w:r>
        <w:rPr>
          <w:i/>
          <w:sz w:val="19"/>
        </w:rPr>
        <w:t>Figure 3.3: Correlation matrix heatmap computed using corrplot package.</w:t>
      </w:r>
    </w:p>
    <w:p>
      <w:pPr>
        <w:keepNext/>
        <w:spacing w:before="240" w:after="120"/>
      </w:pPr>
      <w:r>
        <w:rPr>
          <w:rFonts w:ascii="Calibri" w:hAnsi="Calibri"/>
          <w:b/>
          <w:color w:val="005F73"/>
          <w:sz w:val="36"/>
        </w:rPr>
        <w:t>4. Data Preprocessing</w:t>
      </w:r>
    </w:p>
    <w:p>
      <w:pPr>
        <w:spacing w:before="0" w:after="160"/>
        <w:pBdr>
          <w:bottom w:val="single" w:sz="12" w:space="1" w:color="005F73"/>
        </w:pBdr>
      </w:pPr>
    </w:p>
    <w:p>
      <w:r>
        <w:rPr>
          <w:b/>
        </w:rPr>
        <w:t xml:space="preserve">• </w:t>
      </w:r>
      <w:r>
        <w:rPr>
          <w:b/>
        </w:rPr>
        <w:t xml:space="preserve">Missing Value Treatment: </w:t>
      </w:r>
      <w:r>
        <w:t>16 incomplete rows containing missing values (NAs) within the Bare.nuclei column were entirely removed, preserving 683 clean rows.</w:t>
        <w:br/>
      </w:r>
      <w:r>
        <w:rPr>
          <w:b/>
        </w:rPr>
        <w:t xml:space="preserve">• </w:t>
      </w:r>
      <w:r>
        <w:rPr>
          <w:b/>
        </w:rPr>
        <w:t xml:space="preserve">Data Splitting: </w:t>
      </w:r>
      <w:r>
        <w:t>An 80% training (548 samples) and 20% testing (135 samples) split was executed. The split was stratified to ensure the target variable class proportion remained uniform across subsets.</w:t>
        <w:br/>
      </w:r>
      <w:r>
        <w:rPr>
          <w:b/>
        </w:rPr>
        <w:t xml:space="preserve">• </w:t>
      </w:r>
      <w:r>
        <w:rPr>
          <w:b/>
        </w:rPr>
        <w:t xml:space="preserve">Feature Scaling: </w:t>
      </w:r>
      <w:r>
        <w:t xml:space="preserve">Z-score standardization (center and scale) was computed on training predictors using the </w:t>
      </w:r>
      <w:r>
        <w:rPr>
          <w:i/>
        </w:rPr>
        <w:t>caret::preProcess</w:t>
      </w:r>
      <w:r>
        <w:t xml:space="preserve"> function, ensuring model input parameters are evenly weighted.</w:t>
      </w:r>
    </w:p>
    <w:p>
      <w:pPr>
        <w:keepNext/>
        <w:spacing w:before="240" w:after="120"/>
      </w:pPr>
      <w:r>
        <w:rPr>
          <w:rFonts w:ascii="Calibri" w:hAnsi="Calibri"/>
          <w:b/>
          <w:color w:val="005F73"/>
          <w:sz w:val="36"/>
        </w:rPr>
        <w:t>5. Model Training – Random Forest Classifier</w:t>
      </w:r>
    </w:p>
    <w:p>
      <w:pPr>
        <w:spacing w:before="0" w:after="160"/>
        <w:pBdr>
          <w:bottom w:val="single" w:sz="12" w:space="1" w:color="005F73"/>
        </w:pBdr>
      </w:pPr>
    </w:p>
    <w:p>
      <w:r>
        <w:t>The core classification system was built using the Random Forest algorithm with an ensemble of 100 deep decision trees. Random Forest is exceptionally well-suited for this diagnostic dataset due to its natural capability to capture complex, non-linear boundaries, natively score feature importance, and resist overfitting through bagging and feature subspace sampling.</w:t>
      </w:r>
    </w:p>
    <w:p>
      <w:pPr>
        <w:spacing w:before="160" w:after="160"/>
        <w:ind w:left="576" w:right="576"/>
        <w:pBdr>
          <w:left w:val="single" w:sz="24" w:space="8" w:color="005F73"/>
        </w:pBdr>
        <w:shd w:fill="F4F6F6"/>
      </w:pPr>
      <w:r>
        <w:rPr>
          <w:i/>
          <w:sz w:val="20"/>
        </w:rPr>
        <w:t>Hyperparameter Settings:</w:t>
        <w:br/>
        <w:t>• ntree = 100 (Number of bootstrap trees)</w:t>
        <w:br/>
        <w:t>• mtry = Default (sqrt(p), where p = 9 variables)</w:t>
      </w:r>
    </w:p>
    <w:p>
      <w:pPr>
        <w:keepNext/>
        <w:spacing w:before="240" w:after="120"/>
      </w:pPr>
      <w:r>
        <w:rPr>
          <w:rFonts w:ascii="Calibri" w:hAnsi="Calibri"/>
          <w:b/>
          <w:color w:val="2B2D42"/>
          <w:sz w:val="24"/>
        </w:rPr>
        <w:t>Training Code (Core R Snippet)</w:t>
      </w:r>
    </w:p>
    <w:p>
      <w:pPr>
        <w:spacing w:before="80" w:after="200"/>
        <w:ind w:left="288"/>
        <w:shd w:fill="2B2D42"/>
      </w:pPr>
      <w:r>
        <w:rPr>
          <w:rFonts w:ascii="Consolas" w:hAnsi="Consolas"/>
          <w:color w:val="F4F6F6"/>
          <w:sz w:val="19"/>
        </w:rPr>
        <w:t xml:space="preserve">  # Train Random Forest Classifier</w:t>
        <w:br/>
        <w:t xml:space="preserve">  rf_model &lt;- randomForest(X_train_scaled, y_train, ntree = 100, importance = TRUE)</w:t>
      </w:r>
    </w:p>
    <w:p>
      <w:pPr>
        <w:keepNext/>
        <w:spacing w:before="240" w:after="120"/>
      </w:pPr>
      <w:r>
        <w:rPr>
          <w:rFonts w:ascii="Calibri" w:hAnsi="Calibri"/>
          <w:b/>
          <w:color w:val="005F73"/>
          <w:sz w:val="36"/>
        </w:rPr>
        <w:t>6. Model Evaluation</w:t>
      </w:r>
    </w:p>
    <w:p>
      <w:pPr>
        <w:spacing w:before="0" w:after="160"/>
        <w:pBdr>
          <w:bottom w:val="single" w:sz="12" w:space="1" w:color="005F73"/>
        </w:pBdr>
      </w:pPr>
    </w:p>
    <w:p>
      <w:pPr>
        <w:spacing w:after="240"/>
      </w:pPr>
      <w:r>
        <w:rPr>
          <w:b/>
          <w:color w:val="005F73"/>
          <w:sz w:val="40"/>
        </w:rPr>
        <w:t xml:space="preserve">96.35% </w:t>
      </w:r>
      <w:r>
        <w:rPr>
          <w:sz w:val="24"/>
        </w:rPr>
        <w:t xml:space="preserve">Test Accuracy   |   </w:t>
      </w:r>
      <w:r>
        <w:rPr>
          <w:b/>
          <w:color w:val="CA6702"/>
          <w:sz w:val="40"/>
        </w:rPr>
        <w:t xml:space="preserve">0.99 </w:t>
      </w:r>
      <w:r>
        <w:rPr>
          <w:sz w:val="24"/>
        </w:rPr>
        <w:t>ROC Area Under Curve (AUC)</w:t>
      </w:r>
    </w:p>
    <w:p>
      <w:r>
        <w:t>A comprehensive evaluation over the holdout testing partition shows outstanding diagnostic capability, matching a 5-Fold Cross-Validation Mean Accuracy of 96.42%, verifying that the model generalizes robustly without high variance.</w:t>
      </w:r>
    </w:p>
    <w:p>
      <w:pPr>
        <w:keepNext/>
        <w:spacing w:before="240" w:after="120"/>
      </w:pPr>
      <w:r>
        <w:rPr>
          <w:rFonts w:ascii="Calibri" w:hAnsi="Calibri"/>
          <w:b/>
          <w:color w:val="0A9396"/>
          <w:sz w:val="28"/>
        </w:rPr>
        <w:t>6.2 Confusion Matrix &amp; Class Metrics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tcMar>
              <w:top w:w="100" w:type="dxa"/>
              <w:bottom w:w="100" w:type="dxa"/>
              <w:left w:w="120" w:type="dxa"/>
              <w:right w:w="120" w:type="dxa"/>
            </w:tcMar>
            <w:shd w:fill="EAECEE"/>
          </w:tcPr>
          <w:p>
            <w:pPr>
              <w:jc w:val="center"/>
            </w:pPr>
            <w:r>
              <w:rPr>
                <w:b/>
              </w:rPr>
            </w:r>
          </w:p>
        </w:tc>
        <w:tc>
          <w:tcPr>
            <w:tcW w:type="dxa" w:w="3120"/>
            <w:tcMar>
              <w:top w:w="100" w:type="dxa"/>
              <w:bottom w:w="100" w:type="dxa"/>
              <w:left w:w="120" w:type="dxa"/>
              <w:right w:w="120" w:type="dxa"/>
            </w:tcMar>
            <w:shd w:fill="EAECEE"/>
            <w:shd w:fill="005F73"/>
          </w:tcPr>
          <w:p>
            <w:pPr>
              <w:jc w:val="center"/>
            </w:pPr>
            <w:r>
              <w:rPr>
                <w:b/>
                <w:color w:val="FFFFFF"/>
              </w:rPr>
              <w:t>Predicted Benign</w:t>
            </w:r>
          </w:p>
        </w:tc>
        <w:tc>
          <w:tcPr>
            <w:tcW w:type="dxa" w:w="3120"/>
            <w:tcMar>
              <w:top w:w="100" w:type="dxa"/>
              <w:bottom w:w="100" w:type="dxa"/>
              <w:left w:w="120" w:type="dxa"/>
              <w:right w:w="120" w:type="dxa"/>
            </w:tcMar>
            <w:shd w:fill="EAECEE"/>
            <w:shd w:fill="005F73"/>
          </w:tcPr>
          <w:p>
            <w:pPr>
              <w:jc w:val="center"/>
            </w:pPr>
            <w:r>
              <w:rPr>
                <w:b/>
                <w:color w:val="FFFFFF"/>
              </w:rPr>
              <w:t>Predicted Malignant</w:t>
            </w:r>
          </w:p>
        </w:tc>
      </w:tr>
      <w:tr>
        <w:tc>
          <w:tcPr>
            <w:tcW w:type="dxa" w:w="3120"/>
            <w:tcMar>
              <w:top w:w="100" w:type="dxa"/>
              <w:bottom w:w="100" w:type="dxa"/>
              <w:left w:w="120" w:type="dxa"/>
              <w:right w:w="120" w:type="dxa"/>
            </w:tcMar>
            <w:shd w:fill="EAECEE"/>
          </w:tcPr>
          <w:p>
            <w:pPr>
              <w:jc w:val="center"/>
            </w:pPr>
            <w:r>
              <w:rPr>
                <w:b/>
              </w:rPr>
              <w:t>Actual Benign</w:t>
            </w:r>
          </w:p>
        </w:tc>
        <w:tc>
          <w:tcPr>
            <w:tcW w:type="dxa" w:w="3120"/>
            <w:tcMar>
              <w:top w:w="100" w:type="dxa"/>
              <w:bottom w:w="100" w:type="dxa"/>
              <w:left w:w="120" w:type="dxa"/>
              <w:right w:w="120" w:type="dxa"/>
            </w:tcMar>
            <w:shd w:fill="D4EFDF"/>
          </w:tcPr>
          <w:p>
            <w:pPr>
              <w:jc w:val="center"/>
            </w:pPr>
            <w:r>
              <w:t>86 (True Negative)</w:t>
            </w:r>
          </w:p>
        </w:tc>
        <w:tc>
          <w:tcPr>
            <w:tcW w:type="dxa" w:w="3120"/>
            <w:tcMar>
              <w:top w:w="100" w:type="dxa"/>
              <w:bottom w:w="100" w:type="dxa"/>
              <w:left w:w="120" w:type="dxa"/>
              <w:right w:w="120" w:type="dxa"/>
            </w:tcMar>
            <w:shd w:fill="FADBD8"/>
          </w:tcPr>
          <w:p>
            <w:pPr>
              <w:jc w:val="center"/>
            </w:pPr>
            <w:r>
              <w:t>3 (False Positive)</w:t>
            </w:r>
          </w:p>
        </w:tc>
      </w:tr>
      <w:tr>
        <w:tc>
          <w:tcPr>
            <w:tcW w:type="dxa" w:w="3120"/>
            <w:tcMar>
              <w:top w:w="100" w:type="dxa"/>
              <w:bottom w:w="100" w:type="dxa"/>
              <w:left w:w="120" w:type="dxa"/>
              <w:right w:w="120" w:type="dxa"/>
            </w:tcMar>
            <w:shd w:fill="EAECEE"/>
          </w:tcPr>
          <w:p>
            <w:pPr>
              <w:jc w:val="center"/>
            </w:pPr>
            <w:r>
              <w:rPr>
                <w:b/>
              </w:rPr>
              <w:t>Actual Malignant</w:t>
            </w:r>
          </w:p>
        </w:tc>
        <w:tc>
          <w:tcPr>
            <w:tcW w:type="dxa" w:w="3120"/>
            <w:tcMar>
              <w:top w:w="100" w:type="dxa"/>
              <w:bottom w:w="100" w:type="dxa"/>
              <w:left w:w="120" w:type="dxa"/>
              <w:right w:w="120" w:type="dxa"/>
            </w:tcMar>
            <w:shd w:fill="FADBD8"/>
          </w:tcPr>
          <w:p>
            <w:pPr>
              <w:jc w:val="center"/>
            </w:pPr>
            <w:r>
              <w:t>2 (False Negative)</w:t>
            </w:r>
          </w:p>
        </w:tc>
        <w:tc>
          <w:tcPr>
            <w:tcW w:type="dxa" w:w="3120"/>
            <w:tcMar>
              <w:top w:w="100" w:type="dxa"/>
              <w:bottom w:w="100" w:type="dxa"/>
              <w:left w:w="120" w:type="dxa"/>
              <w:right w:w="120" w:type="dxa"/>
            </w:tcMar>
            <w:shd w:fill="D4EFDF"/>
          </w:tcPr>
          <w:p>
            <w:pPr>
              <w:jc w:val="center"/>
            </w:pPr>
            <w:r>
              <w:t>46 (True Positive)</w:t>
            </w:r>
          </w:p>
        </w:tc>
      </w:tr>
    </w:tbl>
    <w:p>
      <w:pPr>
        <w:spacing w:after="160"/>
      </w:pPr>
    </w:p>
    <w:p>
      <w:pPr>
        <w:keepNext/>
        <w:spacing w:before="240" w:after="120"/>
      </w:pPr>
      <w:r>
        <w:rPr>
          <w:rFonts w:ascii="Calibri" w:hAnsi="Calibri"/>
          <w:b/>
          <w:color w:val="2B2D42"/>
          <w:sz w:val="24"/>
        </w:rPr>
        <w:t>6.3 Classification Report</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872"/>
        <w:gridCol w:w="1872"/>
        <w:gridCol w:w="1872"/>
        <w:gridCol w:w="1872"/>
        <w:gridCol w:w="1872"/>
      </w:tblGrid>
      <w:tr>
        <w:tc>
          <w:tcPr>
            <w:tcW w:type="dxa" w:w="1872"/>
            <w:tcMar>
              <w:top w:w="80" w:type="dxa"/>
              <w:bottom w:w="80" w:type="dxa"/>
              <w:left w:w="120" w:type="dxa"/>
              <w:right w:w="120" w:type="dxa"/>
            </w:tcMar>
            <w:shd w:fill="0A9396"/>
          </w:tcPr>
          <w:p>
            <w:r>
              <w:rPr>
                <w:b/>
                <w:color w:val="FFFFFF"/>
              </w:rPr>
              <w:t>Class</w:t>
            </w:r>
          </w:p>
        </w:tc>
        <w:tc>
          <w:tcPr>
            <w:tcW w:type="dxa" w:w="1872"/>
            <w:tcMar>
              <w:top w:w="80" w:type="dxa"/>
              <w:bottom w:w="80" w:type="dxa"/>
              <w:left w:w="120" w:type="dxa"/>
              <w:right w:w="120" w:type="dxa"/>
            </w:tcMar>
            <w:shd w:fill="0A9396"/>
          </w:tcPr>
          <w:p>
            <w:r>
              <w:rPr>
                <w:b/>
                <w:color w:val="FFFFFF"/>
              </w:rPr>
              <w:t>Precision</w:t>
            </w:r>
          </w:p>
        </w:tc>
        <w:tc>
          <w:tcPr>
            <w:tcW w:type="dxa" w:w="1872"/>
            <w:tcMar>
              <w:top w:w="80" w:type="dxa"/>
              <w:bottom w:w="80" w:type="dxa"/>
              <w:left w:w="120" w:type="dxa"/>
              <w:right w:w="120" w:type="dxa"/>
            </w:tcMar>
            <w:shd w:fill="0A9396"/>
          </w:tcPr>
          <w:p>
            <w:r>
              <w:rPr>
                <w:b/>
                <w:color w:val="FFFFFF"/>
              </w:rPr>
              <w:t>Recall</w:t>
            </w:r>
          </w:p>
        </w:tc>
        <w:tc>
          <w:tcPr>
            <w:tcW w:type="dxa" w:w="1872"/>
            <w:tcMar>
              <w:top w:w="80" w:type="dxa"/>
              <w:bottom w:w="80" w:type="dxa"/>
              <w:left w:w="120" w:type="dxa"/>
              <w:right w:w="120" w:type="dxa"/>
            </w:tcMar>
            <w:shd w:fill="0A9396"/>
          </w:tcPr>
          <w:p>
            <w:r>
              <w:rPr>
                <w:b/>
                <w:color w:val="FFFFFF"/>
              </w:rPr>
              <w:t>F1-Score</w:t>
            </w:r>
          </w:p>
        </w:tc>
        <w:tc>
          <w:tcPr>
            <w:tcW w:type="dxa" w:w="1872"/>
            <w:tcMar>
              <w:top w:w="80" w:type="dxa"/>
              <w:bottom w:w="80" w:type="dxa"/>
              <w:left w:w="120" w:type="dxa"/>
              <w:right w:w="120" w:type="dxa"/>
            </w:tcMar>
            <w:shd w:fill="0A9396"/>
          </w:tcPr>
          <w:p>
            <w:r>
              <w:rPr>
                <w:b/>
                <w:color w:val="FFFFFF"/>
              </w:rPr>
              <w:t>Support</w:t>
            </w:r>
          </w:p>
        </w:tc>
      </w:tr>
      <w:tr>
        <w:tc>
          <w:tcPr>
            <w:tcW w:type="dxa" w:w="1872"/>
            <w:tcMar>
              <w:top w:w="80" w:type="dxa"/>
              <w:bottom w:w="80" w:type="dxa"/>
              <w:left w:w="120" w:type="dxa"/>
              <w:right w:w="120" w:type="dxa"/>
            </w:tcMar>
          </w:tcPr>
          <w:p>
            <w:r>
              <w:t>Benign</w:t>
            </w:r>
          </w:p>
        </w:tc>
        <w:tc>
          <w:tcPr>
            <w:tcW w:type="dxa" w:w="1872"/>
            <w:tcMar>
              <w:top w:w="80" w:type="dxa"/>
              <w:bottom w:w="80" w:type="dxa"/>
              <w:left w:w="120" w:type="dxa"/>
              <w:right w:w="120" w:type="dxa"/>
            </w:tcMar>
          </w:tcPr>
          <w:p>
            <w:r>
              <w:t>0.98</w:t>
            </w:r>
          </w:p>
        </w:tc>
        <w:tc>
          <w:tcPr>
            <w:tcW w:type="dxa" w:w="1872"/>
            <w:tcMar>
              <w:top w:w="80" w:type="dxa"/>
              <w:bottom w:w="80" w:type="dxa"/>
              <w:left w:w="120" w:type="dxa"/>
              <w:right w:w="120" w:type="dxa"/>
            </w:tcMar>
          </w:tcPr>
          <w:p>
            <w:r>
              <w:t>0.97</w:t>
            </w:r>
          </w:p>
        </w:tc>
        <w:tc>
          <w:tcPr>
            <w:tcW w:type="dxa" w:w="1872"/>
            <w:tcMar>
              <w:top w:w="80" w:type="dxa"/>
              <w:bottom w:w="80" w:type="dxa"/>
              <w:left w:w="120" w:type="dxa"/>
              <w:right w:w="120" w:type="dxa"/>
            </w:tcMar>
          </w:tcPr>
          <w:p>
            <w:r>
              <w:t>0.98</w:t>
            </w:r>
          </w:p>
        </w:tc>
        <w:tc>
          <w:tcPr>
            <w:tcW w:type="dxa" w:w="1872"/>
            <w:tcMar>
              <w:top w:w="80" w:type="dxa"/>
              <w:bottom w:w="80" w:type="dxa"/>
              <w:left w:w="120" w:type="dxa"/>
              <w:right w:w="120" w:type="dxa"/>
            </w:tcMar>
          </w:tcPr>
          <w:p>
            <w:r>
              <w:t>89</w:t>
            </w:r>
          </w:p>
        </w:tc>
      </w:tr>
      <w:tr>
        <w:tc>
          <w:tcPr>
            <w:tcW w:type="dxa" w:w="1872"/>
            <w:tcMar>
              <w:top w:w="80" w:type="dxa"/>
              <w:bottom w:w="80" w:type="dxa"/>
              <w:left w:w="120" w:type="dxa"/>
              <w:right w:w="120" w:type="dxa"/>
            </w:tcMar>
            <w:shd w:fill="F4F6F6"/>
          </w:tcPr>
          <w:p>
            <w:r>
              <w:t>Malignant</w:t>
            </w:r>
          </w:p>
        </w:tc>
        <w:tc>
          <w:tcPr>
            <w:tcW w:type="dxa" w:w="1872"/>
            <w:tcMar>
              <w:top w:w="80" w:type="dxa"/>
              <w:bottom w:w="80" w:type="dxa"/>
              <w:left w:w="120" w:type="dxa"/>
              <w:right w:w="120" w:type="dxa"/>
            </w:tcMar>
            <w:shd w:fill="F4F6F6"/>
          </w:tcPr>
          <w:p>
            <w:r>
              <w:t>0.94</w:t>
            </w:r>
          </w:p>
        </w:tc>
        <w:tc>
          <w:tcPr>
            <w:tcW w:type="dxa" w:w="1872"/>
            <w:tcMar>
              <w:top w:w="80" w:type="dxa"/>
              <w:bottom w:w="80" w:type="dxa"/>
              <w:left w:w="120" w:type="dxa"/>
              <w:right w:w="120" w:type="dxa"/>
            </w:tcMar>
            <w:shd w:fill="F4F6F6"/>
          </w:tcPr>
          <w:p>
            <w:r>
              <w:t>0.96</w:t>
            </w:r>
          </w:p>
        </w:tc>
        <w:tc>
          <w:tcPr>
            <w:tcW w:type="dxa" w:w="1872"/>
            <w:tcMar>
              <w:top w:w="80" w:type="dxa"/>
              <w:bottom w:w="80" w:type="dxa"/>
              <w:left w:w="120" w:type="dxa"/>
              <w:right w:w="120" w:type="dxa"/>
            </w:tcMar>
            <w:shd w:fill="F4F6F6"/>
          </w:tcPr>
          <w:p>
            <w:r>
              <w:t>0.95</w:t>
            </w:r>
          </w:p>
        </w:tc>
        <w:tc>
          <w:tcPr>
            <w:tcW w:type="dxa" w:w="1872"/>
            <w:tcMar>
              <w:top w:w="80" w:type="dxa"/>
              <w:bottom w:w="80" w:type="dxa"/>
              <w:left w:w="120" w:type="dxa"/>
              <w:right w:w="120" w:type="dxa"/>
            </w:tcMar>
            <w:shd w:fill="F4F6F6"/>
          </w:tcPr>
          <w:p>
            <w:r>
              <w:t>48</w:t>
            </w:r>
          </w:p>
        </w:tc>
      </w:tr>
    </w:tbl>
    <w:p>
      <w:pPr>
        <w:spacing w:after="240"/>
      </w:pPr>
    </w:p>
    <w:p>
      <w:pPr>
        <w:keepNext/>
        <w:spacing w:before="240" w:after="120"/>
      </w:pPr>
      <w:r>
        <w:rPr>
          <w:rFonts w:ascii="Calibri" w:hAnsi="Calibri"/>
          <w:b/>
          <w:color w:val="0A9396"/>
          <w:sz w:val="28"/>
        </w:rPr>
        <w:t>6.4 ROC Curve &amp; Validation Graphics</w:t>
      </w:r>
    </w:p>
    <w:p>
      <w:pPr>
        <w:jc w:val="center"/>
      </w:pPr>
      <w:r>
        <w:drawing>
          <wp:inline xmlns:a="http://schemas.openxmlformats.org/drawingml/2006/main" xmlns:pic="http://schemas.openxmlformats.org/drawingml/2006/picture">
            <wp:extent cx="2926080" cy="256032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2926080" cy="2560320"/>
                    </a:xfrm>
                    <a:prstGeom prst="rect"/>
                  </pic:spPr>
                </pic:pic>
              </a:graphicData>
            </a:graphic>
          </wp:inline>
        </w:drawing>
      </w:r>
      <w:r>
        <w:t xml:space="preserve">    </w:t>
      </w:r>
      <w:r>
        <w:drawing>
          <wp:inline xmlns:a="http://schemas.openxmlformats.org/drawingml/2006/main" xmlns:pic="http://schemas.openxmlformats.org/drawingml/2006/picture">
            <wp:extent cx="3108960" cy="2763520"/>
            <wp:docPr id="5" name="Picture 5"/>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3108960" cy="2763520"/>
                    </a:xfrm>
                    <a:prstGeom prst="rect"/>
                  </pic:spPr>
                </pic:pic>
              </a:graphicData>
            </a:graphic>
          </wp:inline>
        </w:drawing>
      </w:r>
    </w:p>
    <w:p>
      <w:pPr>
        <w:jc w:val="center"/>
      </w:pPr>
      <w:r>
        <w:rPr>
          <w:i/>
          <w:sz w:val="19"/>
        </w:rPr>
        <w:t>Figure 6.1: Confusion Matrix heatmap (left) and Receiver Operating Characteristic curve (right).</w:t>
      </w:r>
    </w:p>
    <w:p>
      <w:pPr>
        <w:keepNext/>
        <w:spacing w:before="240" w:after="120"/>
      </w:pPr>
      <w:r>
        <w:rPr>
          <w:rFonts w:ascii="Calibri" w:hAnsi="Calibri"/>
          <w:b/>
          <w:color w:val="005F73"/>
          <w:sz w:val="36"/>
        </w:rPr>
        <w:t>7. Feature Importance (Random Forest)</w:t>
      </w:r>
    </w:p>
    <w:p>
      <w:pPr>
        <w:spacing w:before="0" w:after="160"/>
        <w:pBdr>
          <w:bottom w:val="single" w:sz="12" w:space="1" w:color="005F73"/>
        </w:pBdr>
      </w:pPr>
    </w:p>
    <w:p>
      <w:r>
        <w:t>Rather than operating as a complete 'black box', Random Forest allows estimation of relative variable contributions using Mean Decrease in Gini impurity coefficient. Structural irregularities of the nucleus serve as the strongest predictors.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tcMar>
              <w:top w:w="80" w:type="dxa"/>
              <w:bottom w:w="80" w:type="dxa"/>
              <w:left w:w="120" w:type="dxa"/>
              <w:right w:w="120" w:type="dxa"/>
            </w:tcMar>
            <w:shd w:fill="005F73"/>
          </w:tcPr>
          <w:p>
            <w:pPr>
              <w:jc w:val="center"/>
            </w:pPr>
            <w:r>
              <w:rPr>
                <w:b/>
                <w:color w:val="FFFFFF"/>
              </w:rPr>
              <w:t>Rank</w:t>
            </w:r>
          </w:p>
        </w:tc>
        <w:tc>
          <w:tcPr>
            <w:tcW w:type="dxa" w:w="3120"/>
            <w:tcMar>
              <w:top w:w="80" w:type="dxa"/>
              <w:bottom w:w="80" w:type="dxa"/>
              <w:left w:w="120" w:type="dxa"/>
              <w:right w:w="120" w:type="dxa"/>
            </w:tcMar>
            <w:shd w:fill="005F73"/>
          </w:tcPr>
          <w:p>
            <w:r>
              <w:rPr>
                <w:b/>
                <w:color w:val="FFFFFF"/>
              </w:rPr>
              <w:t>Feature Attribute</w:t>
            </w:r>
          </w:p>
        </w:tc>
        <w:tc>
          <w:tcPr>
            <w:tcW w:type="dxa" w:w="3120"/>
            <w:tcMar>
              <w:top w:w="80" w:type="dxa"/>
              <w:bottom w:w="80" w:type="dxa"/>
              <w:left w:w="120" w:type="dxa"/>
              <w:right w:w="120" w:type="dxa"/>
            </w:tcMar>
            <w:shd w:fill="005F73"/>
          </w:tcPr>
          <w:p>
            <w:pPr>
              <w:jc w:val="center"/>
            </w:pPr>
            <w:r>
              <w:rPr>
                <w:b/>
                <w:color w:val="FFFFFF"/>
              </w:rPr>
              <w:t>Importance Score (Mean Decrease Gini)</w:t>
            </w:r>
          </w:p>
        </w:tc>
      </w:tr>
      <w:tr>
        <w:tc>
          <w:tcPr>
            <w:tcW w:type="dxa" w:w="3120"/>
            <w:tcMar>
              <w:top w:w="80" w:type="dxa"/>
              <w:bottom w:w="80" w:type="dxa"/>
              <w:left w:w="120" w:type="dxa"/>
              <w:right w:w="120" w:type="dxa"/>
            </w:tcMar>
          </w:tcPr>
          <w:p>
            <w:pPr>
              <w:jc w:val="center"/>
            </w:pPr>
            <w:r>
              <w:t>1</w:t>
            </w:r>
          </w:p>
        </w:tc>
        <w:tc>
          <w:tcPr>
            <w:tcW w:type="dxa" w:w="3120"/>
            <w:tcMar>
              <w:top w:w="80" w:type="dxa"/>
              <w:bottom w:w="80" w:type="dxa"/>
              <w:left w:w="120" w:type="dxa"/>
              <w:right w:w="120" w:type="dxa"/>
            </w:tcMar>
          </w:tcPr>
          <w:p>
            <w:r>
              <w:t>Bare.nuclei</w:t>
            </w:r>
          </w:p>
        </w:tc>
        <w:tc>
          <w:tcPr>
            <w:tcW w:type="dxa" w:w="3120"/>
            <w:tcMar>
              <w:top w:w="80" w:type="dxa"/>
              <w:bottom w:w="80" w:type="dxa"/>
              <w:left w:w="120" w:type="dxa"/>
              <w:right w:w="120" w:type="dxa"/>
            </w:tcMar>
          </w:tcPr>
          <w:p>
            <w:pPr>
              <w:jc w:val="center"/>
            </w:pPr>
            <w:r>
              <w:t>85.2</w:t>
            </w:r>
          </w:p>
        </w:tc>
      </w:tr>
      <w:tr>
        <w:tc>
          <w:tcPr>
            <w:tcW w:type="dxa" w:w="3120"/>
            <w:tcMar>
              <w:top w:w="80" w:type="dxa"/>
              <w:bottom w:w="80" w:type="dxa"/>
              <w:left w:w="120" w:type="dxa"/>
              <w:right w:w="120" w:type="dxa"/>
            </w:tcMar>
            <w:shd w:fill="F4F6F6"/>
          </w:tcPr>
          <w:p>
            <w:pPr>
              <w:jc w:val="center"/>
            </w:pPr>
            <w:r>
              <w:t>2</w:t>
            </w:r>
          </w:p>
        </w:tc>
        <w:tc>
          <w:tcPr>
            <w:tcW w:type="dxa" w:w="3120"/>
            <w:tcMar>
              <w:top w:w="80" w:type="dxa"/>
              <w:bottom w:w="80" w:type="dxa"/>
              <w:left w:w="120" w:type="dxa"/>
              <w:right w:w="120" w:type="dxa"/>
            </w:tcMar>
            <w:shd w:fill="F4F6F6"/>
          </w:tcPr>
          <w:p>
            <w:r>
              <w:t>Cell.size</w:t>
            </w:r>
          </w:p>
        </w:tc>
        <w:tc>
          <w:tcPr>
            <w:tcW w:type="dxa" w:w="3120"/>
            <w:tcMar>
              <w:top w:w="80" w:type="dxa"/>
              <w:bottom w:w="80" w:type="dxa"/>
              <w:left w:w="120" w:type="dxa"/>
              <w:right w:w="120" w:type="dxa"/>
            </w:tcMar>
            <w:shd w:fill="F4F6F6"/>
          </w:tcPr>
          <w:p>
            <w:pPr>
              <w:jc w:val="center"/>
            </w:pPr>
            <w:r>
              <w:t>76.5</w:t>
            </w:r>
          </w:p>
        </w:tc>
      </w:tr>
      <w:tr>
        <w:tc>
          <w:tcPr>
            <w:tcW w:type="dxa" w:w="3120"/>
            <w:tcMar>
              <w:top w:w="80" w:type="dxa"/>
              <w:bottom w:w="80" w:type="dxa"/>
              <w:left w:w="120" w:type="dxa"/>
              <w:right w:w="120" w:type="dxa"/>
            </w:tcMar>
          </w:tcPr>
          <w:p>
            <w:pPr>
              <w:jc w:val="center"/>
            </w:pPr>
            <w:r>
              <w:t>3</w:t>
            </w:r>
          </w:p>
        </w:tc>
        <w:tc>
          <w:tcPr>
            <w:tcW w:type="dxa" w:w="3120"/>
            <w:tcMar>
              <w:top w:w="80" w:type="dxa"/>
              <w:bottom w:w="80" w:type="dxa"/>
              <w:left w:w="120" w:type="dxa"/>
              <w:right w:w="120" w:type="dxa"/>
            </w:tcMar>
          </w:tcPr>
          <w:p>
            <w:r>
              <w:t>Cell.shape</w:t>
            </w:r>
          </w:p>
        </w:tc>
        <w:tc>
          <w:tcPr>
            <w:tcW w:type="dxa" w:w="3120"/>
            <w:tcMar>
              <w:top w:w="80" w:type="dxa"/>
              <w:bottom w:w="80" w:type="dxa"/>
              <w:left w:w="120" w:type="dxa"/>
              <w:right w:w="120" w:type="dxa"/>
            </w:tcMar>
          </w:tcPr>
          <w:p>
            <w:pPr>
              <w:jc w:val="center"/>
            </w:pPr>
            <w:r>
              <w:t>74.1</w:t>
            </w:r>
          </w:p>
        </w:tc>
      </w:tr>
      <w:tr>
        <w:tc>
          <w:tcPr>
            <w:tcW w:type="dxa" w:w="3120"/>
            <w:tcMar>
              <w:top w:w="80" w:type="dxa"/>
              <w:bottom w:w="80" w:type="dxa"/>
              <w:left w:w="120" w:type="dxa"/>
              <w:right w:w="120" w:type="dxa"/>
            </w:tcMar>
            <w:shd w:fill="F4F6F6"/>
          </w:tcPr>
          <w:p>
            <w:pPr>
              <w:jc w:val="center"/>
            </w:pPr>
            <w:r>
              <w:t>4</w:t>
            </w:r>
          </w:p>
        </w:tc>
        <w:tc>
          <w:tcPr>
            <w:tcW w:type="dxa" w:w="3120"/>
            <w:tcMar>
              <w:top w:w="80" w:type="dxa"/>
              <w:bottom w:w="80" w:type="dxa"/>
              <w:left w:w="120" w:type="dxa"/>
              <w:right w:w="120" w:type="dxa"/>
            </w:tcMar>
            <w:shd w:fill="F4F6F6"/>
          </w:tcPr>
          <w:p>
            <w:r>
              <w:t>Bland.chromatin</w:t>
            </w:r>
          </w:p>
        </w:tc>
        <w:tc>
          <w:tcPr>
            <w:tcW w:type="dxa" w:w="3120"/>
            <w:tcMar>
              <w:top w:w="80" w:type="dxa"/>
              <w:bottom w:w="80" w:type="dxa"/>
              <w:left w:w="120" w:type="dxa"/>
              <w:right w:w="120" w:type="dxa"/>
            </w:tcMar>
            <w:shd w:fill="F4F6F6"/>
          </w:tcPr>
          <w:p>
            <w:pPr>
              <w:jc w:val="center"/>
            </w:pPr>
            <w:r>
              <w:t>61.8</w:t>
            </w:r>
          </w:p>
        </w:tc>
      </w:tr>
      <w:tr>
        <w:tc>
          <w:tcPr>
            <w:tcW w:type="dxa" w:w="3120"/>
            <w:tcMar>
              <w:top w:w="80" w:type="dxa"/>
              <w:bottom w:w="80" w:type="dxa"/>
              <w:left w:w="120" w:type="dxa"/>
              <w:right w:w="120" w:type="dxa"/>
            </w:tcMar>
          </w:tcPr>
          <w:p>
            <w:pPr>
              <w:jc w:val="center"/>
            </w:pPr>
            <w:r>
              <w:t>5</w:t>
            </w:r>
          </w:p>
        </w:tc>
        <w:tc>
          <w:tcPr>
            <w:tcW w:type="dxa" w:w="3120"/>
            <w:tcMar>
              <w:top w:w="80" w:type="dxa"/>
              <w:bottom w:w="80" w:type="dxa"/>
              <w:left w:w="120" w:type="dxa"/>
              <w:right w:w="120" w:type="dxa"/>
            </w:tcMar>
          </w:tcPr>
          <w:p>
            <w:r>
              <w:t>Normal.nucleoli</w:t>
            </w:r>
          </w:p>
        </w:tc>
        <w:tc>
          <w:tcPr>
            <w:tcW w:type="dxa" w:w="3120"/>
            <w:tcMar>
              <w:top w:w="80" w:type="dxa"/>
              <w:bottom w:w="80" w:type="dxa"/>
              <w:left w:w="120" w:type="dxa"/>
              <w:right w:w="120" w:type="dxa"/>
            </w:tcMar>
          </w:tcPr>
          <w:p>
            <w:pPr>
              <w:jc w:val="center"/>
            </w:pPr>
            <w:r>
              <w:t>58.4</w:t>
            </w:r>
          </w:p>
        </w:tc>
      </w:tr>
    </w:tbl>
    <w:p>
      <w:pPr>
        <w:spacing w:after="200"/>
      </w:pPr>
    </w:p>
    <w:p>
      <w:pPr>
        <w:jc w:val="center"/>
      </w:pPr>
      <w:r>
        <w:drawing>
          <wp:inline xmlns:a="http://schemas.openxmlformats.org/drawingml/2006/main" xmlns:pic="http://schemas.openxmlformats.org/drawingml/2006/picture">
            <wp:extent cx="4114800" cy="2992582"/>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4114800" cy="2992582"/>
                    </a:xfrm>
                    <a:prstGeom prst="rect"/>
                  </pic:spPr>
                </pic:pic>
              </a:graphicData>
            </a:graphic>
          </wp:inline>
        </w:drawing>
      </w:r>
    </w:p>
    <w:p>
      <w:pPr>
        <w:jc w:val="center"/>
      </w:pPr>
      <w:r>
        <w:rPr>
          <w:i/>
          <w:sz w:val="19"/>
        </w:rPr>
        <w:t>Figure 7.1: Gini importance scores across all nuclear tumor feature attributes.</w:t>
      </w:r>
    </w:p>
    <w:p>
      <w:pPr>
        <w:keepNext/>
        <w:spacing w:before="240" w:after="120"/>
      </w:pPr>
      <w:r>
        <w:rPr>
          <w:rFonts w:ascii="Calibri" w:hAnsi="Calibri"/>
          <w:b/>
          <w:color w:val="005F73"/>
          <w:sz w:val="36"/>
        </w:rPr>
        <w:t>8. Conclusion</w:t>
      </w:r>
    </w:p>
    <w:p>
      <w:pPr>
        <w:spacing w:before="0" w:after="160"/>
        <w:pBdr>
          <w:bottom w:val="single" w:sz="12" w:space="1" w:color="005F73"/>
        </w:pBdr>
      </w:pPr>
    </w:p>
    <w:p>
      <w:r>
        <w:rPr>
          <w:b/>
        </w:rPr>
        <w:t xml:space="preserve">• </w:t>
      </w:r>
      <w:r>
        <w:rPr>
          <w:b/>
        </w:rPr>
        <w:t xml:space="preserve">Performance: </w:t>
      </w:r>
      <w:r>
        <w:t>The Random Forest architecture demonstrates exceptional performance, achieving a ~96.35% overall testing accuracy and an outstanding AUC score of 0.99, illustrating almost flawless capability to distinguish classes.</w:t>
        <w:br/>
      </w:r>
      <w:r>
        <w:rPr>
          <w:b/>
        </w:rPr>
        <w:t xml:space="preserve">• </w:t>
      </w:r>
      <w:r>
        <w:rPr>
          <w:b/>
        </w:rPr>
        <w:t xml:space="preserve">Key Biomarkers: </w:t>
      </w:r>
      <w:r>
        <w:t>Features mapping nuclear malformation—specifically Bare Nuclei, Cell Size, and Cell Shape uniformity—represent the primary diagnostic predictors.</w:t>
        <w:br/>
      </w:r>
      <w:r>
        <w:rPr>
          <w:b/>
        </w:rPr>
        <w:t xml:space="preserve">• </w:t>
      </w:r>
      <w:r>
        <w:rPr>
          <w:b/>
        </w:rPr>
        <w:t xml:space="preserve">Clinical Application: </w:t>
      </w:r>
      <w:r>
        <w:t>While highly precise as an automated digital pathology screening mechanism to assist medical practitioners, this computer-aided framework should serve as a secondary confirmation toolkit alongside traditional gold-standard biopsies.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