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3BFF6" w14:textId="77777777" w:rsidR="005C572D" w:rsidRDefault="00F15253" w:rsidP="00F15253">
      <w:pPr>
        <w:jc w:val="center"/>
        <w:rPr>
          <w:rFonts w:ascii="Cambria" w:eastAsia="Cambria" w:hAnsi="Cambria" w:cs="Cambria"/>
          <w:b/>
          <w:color w:val="000000"/>
          <w:sz w:val="32"/>
          <w:szCs w:val="32"/>
        </w:rPr>
      </w:pPr>
      <w:r>
        <w:rPr>
          <w:rFonts w:ascii="Cambria" w:eastAsia="Cambria" w:hAnsi="Cambria" w:cs="Cambria"/>
          <w:b/>
          <w:color w:val="000000"/>
          <w:sz w:val="32"/>
          <w:szCs w:val="32"/>
        </w:rPr>
        <w:t xml:space="preserve">Business Question and Visualization </w:t>
      </w:r>
      <w:r>
        <w:rPr>
          <w:rFonts w:ascii="Cambria" w:eastAsia="Cambria" w:hAnsi="Cambria" w:cs="Cambria"/>
          <w:b/>
          <w:sz w:val="32"/>
          <w:szCs w:val="32"/>
        </w:rPr>
        <w:t>Report</w:t>
      </w:r>
    </w:p>
    <w:p w14:paraId="63E7F1F8" w14:textId="77777777" w:rsidR="005C572D" w:rsidRDefault="005C572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5C572D" w14:paraId="2DCA947B" w14:textId="77777777">
        <w:trPr>
          <w:jc w:val="center"/>
        </w:trPr>
        <w:tc>
          <w:tcPr>
            <w:tcW w:w="4508" w:type="dxa"/>
          </w:tcPr>
          <w:p w14:paraId="051941D2" w14:textId="77777777" w:rsidR="005C572D" w:rsidRDefault="004E274E">
            <w:pPr>
              <w:rPr>
                <w:rFonts w:ascii="Arial" w:eastAsia="Arial" w:hAnsi="Arial" w:cs="Arial"/>
              </w:rPr>
            </w:pPr>
            <w:r>
              <w:rPr>
                <w:rFonts w:ascii="Arial" w:eastAsia="Arial" w:hAnsi="Arial" w:cs="Arial"/>
              </w:rPr>
              <w:t>Team ID</w:t>
            </w:r>
          </w:p>
        </w:tc>
        <w:tc>
          <w:tcPr>
            <w:tcW w:w="4843" w:type="dxa"/>
          </w:tcPr>
          <w:p w14:paraId="34FECB50" w14:textId="77777777" w:rsidR="005C572D" w:rsidRDefault="00A21181">
            <w:pPr>
              <w:rPr>
                <w:rFonts w:ascii="Arial" w:eastAsia="Arial" w:hAnsi="Arial" w:cs="Arial"/>
              </w:rPr>
            </w:pPr>
            <w:r>
              <w:rPr>
                <w:rFonts w:ascii="Arial" w:eastAsia="Arial" w:hAnsi="Arial" w:cs="Arial"/>
              </w:rPr>
              <w:t>Master of Computer Application</w:t>
            </w:r>
          </w:p>
        </w:tc>
      </w:tr>
      <w:tr w:rsidR="005C572D" w14:paraId="22F9AD43" w14:textId="77777777">
        <w:trPr>
          <w:jc w:val="center"/>
        </w:trPr>
        <w:tc>
          <w:tcPr>
            <w:tcW w:w="4508" w:type="dxa"/>
          </w:tcPr>
          <w:p w14:paraId="4FAEF30C" w14:textId="77777777" w:rsidR="005C572D" w:rsidRDefault="004E274E">
            <w:pPr>
              <w:rPr>
                <w:rFonts w:ascii="Arial" w:eastAsia="Arial" w:hAnsi="Arial" w:cs="Arial"/>
              </w:rPr>
            </w:pPr>
            <w:r>
              <w:rPr>
                <w:rFonts w:ascii="Arial" w:eastAsia="Arial" w:hAnsi="Arial" w:cs="Arial"/>
              </w:rPr>
              <w:t>Project Name</w:t>
            </w:r>
          </w:p>
        </w:tc>
        <w:tc>
          <w:tcPr>
            <w:tcW w:w="4843" w:type="dxa"/>
          </w:tcPr>
          <w:p w14:paraId="05AEEE54" w14:textId="77777777" w:rsidR="005C572D" w:rsidRDefault="00BB0734">
            <w:pPr>
              <w:rPr>
                <w:rFonts w:ascii="Arial" w:eastAsia="Arial" w:hAnsi="Arial" w:cs="Arial"/>
              </w:rPr>
            </w:pPr>
            <w:r>
              <w:rPr>
                <w:rFonts w:ascii="Arial" w:eastAsia="Arial" w:hAnsi="Arial" w:cs="Arial"/>
              </w:rPr>
              <w:t>Online Learning Engagement and Student Performance Analysis</w:t>
            </w:r>
          </w:p>
        </w:tc>
      </w:tr>
      <w:tr w:rsidR="005C572D" w14:paraId="10E018DF" w14:textId="77777777">
        <w:trPr>
          <w:jc w:val="center"/>
        </w:trPr>
        <w:tc>
          <w:tcPr>
            <w:tcW w:w="4508" w:type="dxa"/>
          </w:tcPr>
          <w:p w14:paraId="5F78A546" w14:textId="77777777" w:rsidR="005C572D" w:rsidRDefault="004E274E">
            <w:pPr>
              <w:rPr>
                <w:rFonts w:ascii="Arial" w:eastAsia="Arial" w:hAnsi="Arial" w:cs="Arial"/>
              </w:rPr>
            </w:pPr>
            <w:r>
              <w:rPr>
                <w:rFonts w:ascii="Arial" w:eastAsia="Arial" w:hAnsi="Arial" w:cs="Arial"/>
              </w:rPr>
              <w:t>Maximum Marks</w:t>
            </w:r>
          </w:p>
        </w:tc>
        <w:tc>
          <w:tcPr>
            <w:tcW w:w="4843" w:type="dxa"/>
          </w:tcPr>
          <w:p w14:paraId="326968A4" w14:textId="77777777" w:rsidR="005C572D" w:rsidRDefault="004E274E">
            <w:pPr>
              <w:rPr>
                <w:rFonts w:ascii="Arial" w:eastAsia="Arial" w:hAnsi="Arial" w:cs="Arial"/>
              </w:rPr>
            </w:pPr>
            <w:r>
              <w:rPr>
                <w:rFonts w:ascii="Arial" w:eastAsia="Arial" w:hAnsi="Arial" w:cs="Arial"/>
              </w:rPr>
              <w:t>5 Marks</w:t>
            </w:r>
          </w:p>
        </w:tc>
      </w:tr>
    </w:tbl>
    <w:p w14:paraId="0026ECD2" w14:textId="77777777" w:rsidR="005C572D" w:rsidRDefault="005C572D">
      <w:pPr>
        <w:rPr>
          <w:rFonts w:ascii="Cambria" w:eastAsia="Cambria" w:hAnsi="Cambria" w:cs="Cambria"/>
          <w:b/>
          <w:color w:val="000000"/>
          <w:sz w:val="32"/>
          <w:szCs w:val="32"/>
        </w:rPr>
      </w:pPr>
    </w:p>
    <w:p w14:paraId="7057E48A" w14:textId="77777777" w:rsidR="00451910" w:rsidRDefault="004E274E">
      <w:pPr>
        <w:jc w:val="both"/>
        <w:rPr>
          <w:rFonts w:ascii="Cambria" w:eastAsia="Cambria" w:hAnsi="Cambria" w:cs="Cambria"/>
          <w:sz w:val="24"/>
          <w:szCs w:val="24"/>
        </w:rPr>
      </w:pPr>
      <w:r>
        <w:rPr>
          <w:rFonts w:ascii="Cambria" w:eastAsia="Cambria" w:hAnsi="Cambria" w:cs="Cambria"/>
          <w:color w:val="000000"/>
          <w:sz w:val="24"/>
          <w:szCs w:val="24"/>
        </w:rPr>
        <w:t>Visualization development refers to the process of creating graphical representations of data to facilitate understanding, analysis, and decision-making. In this project, Power BI is used to transform the online learning dataset of 22,422 students into interactive dashboards that show how students engage with the learning platform and how that engagement relates to their academic performance. The dataset includes region, gender, highest education, engagement level, risk level, total clicks and final result, together with measures such as Total Students, Average Score, Pass Rate, Dropout Rate and Average Clicks. Selecting appropriate visual elements, designing clear layouts and using interactive features such as decomposition trees helps instructors, advisers and managers identify learners who need support and act early.</w:t>
      </w:r>
    </w:p>
    <w:p w14:paraId="76E7816F"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Business Questions and Visualisation</w:t>
      </w:r>
    </w:p>
    <w:p w14:paraId="2A5D7EEE"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The process involves defining specific business questions about learner engagement, dropout risk and academic performance to guide the creation of meaningful and actionable visualizations in Power BI. For each of the ten questions below, the report gives the visualization used, the fields behind it, a screenshot taken from the dashboards, and the insight and business value it provides. The visuals come from two dashboards: Student Performance &amp; Engagement Overview and Risk, Dropout &amp; Demographic Analysis.</w:t>
      </w:r>
    </w:p>
    <w:p w14:paraId="5FDB30D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are students distributed across engagement levels?</w:t>
      </w:r>
    </w:p>
    <w:p w14:paraId="76ECE99D"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engagement level (Dashboard 1: Student Performance &amp; Engagement Overview).</w:t>
      </w:r>
    </w:p>
    <w:p w14:paraId="79CB198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engagement level; Values – Total Students.</w:t>
      </w:r>
    </w:p>
    <w:p w14:paraId="7F9E523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7C5C90C"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7E92EA3C" wp14:editId="6530F5CF">
            <wp:extent cx="3657600" cy="2723949"/>
            <wp:effectExtent l="0" t="0" r="0" b="0"/>
            <wp:docPr id="101" name="q1.png" descr="How are students distributed across engagement levels?"/>
            <wp:cNvGraphicFramePr/>
            <a:graphic xmlns:a="http://schemas.openxmlformats.org/drawingml/2006/main">
              <a:graphicData uri="http://schemas.openxmlformats.org/drawingml/2006/picture">
                <pic:pic xmlns:pic="http://schemas.openxmlformats.org/drawingml/2006/picture">
                  <pic:nvPicPr>
                    <pic:cNvPr id="101" name="q1.png"/>
                    <pic:cNvPicPr/>
                  </pic:nvPicPr>
                  <pic:blipFill>
                    <a:blip r:embed="rId6"/>
                    <a:stretch>
                      <a:fillRect/>
                    </a:stretch>
                  </pic:blipFill>
                  <pic:spPr>
                    <a:xfrm>
                      <a:off x="0" y="0"/>
                      <a:ext cx="3657600" cy="2723949"/>
                    </a:xfrm>
                    <a:prstGeom prst="rect">
                      <a:avLst/>
                    </a:prstGeom>
                    <a:ln w="9525">
                      <a:solidFill>
                        <a:srgbClr val="BFBFBF"/>
                      </a:solidFill>
                    </a:ln>
                  </pic:spPr>
                </pic:pic>
              </a:graphicData>
            </a:graphic>
          </wp:inline>
        </w:drawing>
      </w:r>
    </w:p>
    <w:p w14:paraId="79BEB7E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Of the </w:t>
      </w:r>
      <w:r w:rsidRPr="00A21181">
        <w:rPr>
          <w:rFonts w:ascii="Cambria" w:eastAsia="Cambria" w:hAnsi="Cambria" w:cs="Cambria"/>
          <w:b/>
          <w:bCs/>
          <w:color w:val="000000"/>
          <w:sz w:val="32"/>
          <w:szCs w:val="32"/>
        </w:rPr>
        <w:t>22,422 students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8,400 (37.46%)</w:t>
      </w:r>
      <w:r w:rsidRPr="00A21181">
        <w:rPr>
          <w:rFonts w:ascii="Cambria" w:eastAsia="Cambria" w:hAnsi="Cambria" w:cs="Cambria"/>
          <w:color w:val="000000"/>
          <w:sz w:val="32"/>
          <w:szCs w:val="32"/>
        </w:rPr>
        <w:t xml:space="preserve"> have Medium engagement, </w:t>
      </w:r>
      <w:r w:rsidRPr="00A21181">
        <w:rPr>
          <w:rFonts w:ascii="Cambria" w:eastAsia="Cambria" w:hAnsi="Cambria" w:cs="Cambria"/>
          <w:b/>
          <w:bCs/>
          <w:color w:val="000000"/>
          <w:sz w:val="32"/>
          <w:szCs w:val="32"/>
        </w:rPr>
        <w:t>7,612 (33.95%)</w:t>
      </w:r>
      <w:r w:rsidRPr="00A21181">
        <w:rPr>
          <w:rFonts w:ascii="Cambria" w:eastAsia="Cambria" w:hAnsi="Cambria" w:cs="Cambria"/>
          <w:color w:val="000000"/>
          <w:sz w:val="32"/>
          <w:szCs w:val="32"/>
        </w:rPr>
        <w:t xml:space="preserve"> have High engagement and </w:t>
      </w:r>
      <w:r w:rsidRPr="00A21181">
        <w:rPr>
          <w:rFonts w:ascii="Cambria" w:eastAsia="Cambria" w:hAnsi="Cambria" w:cs="Cambria"/>
          <w:b/>
          <w:bCs/>
          <w:color w:val="000000"/>
          <w:sz w:val="32"/>
          <w:szCs w:val="32"/>
        </w:rPr>
        <w:t>6,410 (28.59%)</w:t>
      </w:r>
      <w:r w:rsidRPr="00A21181">
        <w:rPr>
          <w:rFonts w:ascii="Cambria" w:eastAsia="Cambria" w:hAnsi="Cambria" w:cs="Cambria"/>
          <w:color w:val="000000"/>
          <w:sz w:val="32"/>
          <w:szCs w:val="32"/>
        </w:rPr>
        <w:t xml:space="preserve"> have Low engagement. The split looks fairly even, but </w:t>
      </w:r>
      <w:r w:rsidRPr="00A21181">
        <w:rPr>
          <w:rFonts w:ascii="Cambria" w:eastAsia="Cambria" w:hAnsi="Cambria" w:cs="Cambria"/>
          <w:b/>
          <w:bCs/>
          <w:color w:val="000000"/>
          <w:sz w:val="32"/>
          <w:szCs w:val="32"/>
        </w:rPr>
        <w:t>14,810 students (66.05%)</w:t>
      </w:r>
      <w:r w:rsidRPr="00A21181">
        <w:rPr>
          <w:rFonts w:ascii="Cambria" w:eastAsia="Cambria" w:hAnsi="Cambria" w:cs="Cambria"/>
          <w:color w:val="000000"/>
          <w:sz w:val="32"/>
          <w:szCs w:val="32"/>
        </w:rPr>
        <w:t xml:space="preserve"> sit at Medium or Low, so about two-thirds of learners are not fully engaged with their course.</w:t>
      </w:r>
    </w:p>
    <w:p w14:paraId="24A33F4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shows how large the engagement gap is and sizes the group that should receive reminders, nudges and more interactive content.</w:t>
      </w:r>
    </w:p>
    <w:p w14:paraId="25BFD047"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much learning activity (clicks) does each engagement level generate?</w:t>
      </w:r>
    </w:p>
    <w:p w14:paraId="4AA5F7D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Sum of total clicks by engagement level (Dashboard 1: Student Performance &amp; Engagement Overview).</w:t>
      </w:r>
    </w:p>
    <w:p w14:paraId="5C21572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engagement level; Values – Sum of total clicks.</w:t>
      </w:r>
    </w:p>
    <w:p w14:paraId="06197CE4"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AD8E4C3"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2252E356" wp14:editId="60E82B9D">
            <wp:extent cx="3599848" cy="2743200"/>
            <wp:effectExtent l="0" t="0" r="0" b="0"/>
            <wp:docPr id="102" name="q2.png" descr="How much learning activity (clicks) does each engagement level generate?"/>
            <wp:cNvGraphicFramePr/>
            <a:graphic xmlns:a="http://schemas.openxmlformats.org/drawingml/2006/main">
              <a:graphicData uri="http://schemas.openxmlformats.org/drawingml/2006/picture">
                <pic:pic xmlns:pic="http://schemas.openxmlformats.org/drawingml/2006/picture">
                  <pic:nvPicPr>
                    <pic:cNvPr id="102" name="q2.png"/>
                    <pic:cNvPicPr/>
                  </pic:nvPicPr>
                  <pic:blipFill>
                    <a:blip r:embed="rId7"/>
                    <a:stretch>
                      <a:fillRect/>
                    </a:stretch>
                  </pic:blipFill>
                  <pic:spPr>
                    <a:xfrm>
                      <a:off x="0" y="0"/>
                      <a:ext cx="3599848" cy="2743200"/>
                    </a:xfrm>
                    <a:prstGeom prst="rect">
                      <a:avLst/>
                    </a:prstGeom>
                    <a:ln w="9525">
                      <a:solidFill>
                        <a:srgbClr val="BFBFBF"/>
                      </a:solidFill>
                    </a:ln>
                  </pic:spPr>
                </pic:pic>
              </a:graphicData>
            </a:graphic>
          </wp:inline>
        </w:drawing>
      </w:r>
    </w:p>
    <w:p w14:paraId="0DCCCD9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High-engagement students generate about </w:t>
      </w:r>
      <w:r w:rsidRPr="00A21181">
        <w:rPr>
          <w:rFonts w:ascii="Cambria" w:eastAsia="Cambria" w:hAnsi="Cambria" w:cs="Cambria"/>
          <w:b/>
          <w:bCs/>
          <w:color w:val="000000"/>
          <w:sz w:val="32"/>
          <w:szCs w:val="32"/>
        </w:rPr>
        <w:t>32M clicks</w:t>
      </w:r>
      <w:r w:rsidRPr="00A21181">
        <w:rPr>
          <w:rFonts w:ascii="Cambria" w:eastAsia="Cambria" w:hAnsi="Cambria" w:cs="Cambria"/>
          <w:color w:val="000000"/>
          <w:sz w:val="32"/>
          <w:szCs w:val="32"/>
        </w:rPr>
        <w:t xml:space="preserve">, compared with about </w:t>
      </w:r>
      <w:r w:rsidRPr="00A21181">
        <w:rPr>
          <w:rFonts w:ascii="Cambria" w:eastAsia="Cambria" w:hAnsi="Cambria" w:cs="Cambria"/>
          <w:b/>
          <w:bCs/>
          <w:color w:val="000000"/>
          <w:sz w:val="32"/>
          <w:szCs w:val="32"/>
        </w:rPr>
        <w:t>9M</w:t>
      </w:r>
      <w:r w:rsidRPr="00A21181">
        <w:rPr>
          <w:rFonts w:ascii="Cambria" w:eastAsia="Cambria" w:hAnsi="Cambria" w:cs="Cambria"/>
          <w:color w:val="000000"/>
          <w:sz w:val="32"/>
          <w:szCs w:val="32"/>
        </w:rPr>
        <w:t xml:space="preserve"> for Medium and about </w:t>
      </w:r>
      <w:r w:rsidRPr="00A21181">
        <w:rPr>
          <w:rFonts w:ascii="Cambria" w:eastAsia="Cambria" w:hAnsi="Cambria" w:cs="Cambria"/>
          <w:b/>
          <w:bCs/>
          <w:color w:val="000000"/>
          <w:sz w:val="32"/>
          <w:szCs w:val="32"/>
        </w:rPr>
        <w:t>2M</w:t>
      </w:r>
      <w:r w:rsidRPr="00A21181">
        <w:rPr>
          <w:rFonts w:ascii="Cambria" w:eastAsia="Cambria" w:hAnsi="Cambria" w:cs="Cambria"/>
          <w:color w:val="000000"/>
          <w:sz w:val="32"/>
          <w:szCs w:val="32"/>
        </w:rPr>
        <w:t xml:space="preserve"> for Low. That is roughly </w:t>
      </w:r>
      <w:r w:rsidRPr="00A21181">
        <w:rPr>
          <w:rFonts w:ascii="Cambria" w:eastAsia="Cambria" w:hAnsi="Cambria" w:cs="Cambria"/>
          <w:b/>
          <w:bCs/>
          <w:color w:val="000000"/>
          <w:sz w:val="32"/>
          <w:szCs w:val="32"/>
        </w:rPr>
        <w:t>three-quarters</w:t>
      </w:r>
      <w:r w:rsidRPr="00A21181">
        <w:rPr>
          <w:rFonts w:ascii="Cambria" w:eastAsia="Cambria" w:hAnsi="Cambria" w:cs="Cambria"/>
          <w:color w:val="000000"/>
          <w:sz w:val="32"/>
          <w:szCs w:val="32"/>
        </w:rPr>
        <w:t xml:space="preserve"> of all platform clicks coming from about a third of the students. Per student, this works out at roughly </w:t>
      </w:r>
      <w:r w:rsidRPr="00A21181">
        <w:rPr>
          <w:rFonts w:ascii="Cambria" w:eastAsia="Cambria" w:hAnsi="Cambria" w:cs="Cambria"/>
          <w:b/>
          <w:bCs/>
          <w:color w:val="000000"/>
          <w:sz w:val="32"/>
          <w:szCs w:val="32"/>
        </w:rPr>
        <w:t>4,000 clicks</w:t>
      </w:r>
      <w:r w:rsidRPr="00A21181">
        <w:rPr>
          <w:rFonts w:ascii="Cambria" w:eastAsia="Cambria" w:hAnsi="Cambria" w:cs="Cambria"/>
          <w:color w:val="000000"/>
          <w:sz w:val="32"/>
          <w:szCs w:val="32"/>
        </w:rPr>
        <w:t xml:space="preserve"> for High engagement, about </w:t>
      </w:r>
      <w:r w:rsidRPr="00A21181">
        <w:rPr>
          <w:rFonts w:ascii="Cambria" w:eastAsia="Cambria" w:hAnsi="Cambria" w:cs="Cambria"/>
          <w:b/>
          <w:bCs/>
          <w:color w:val="000000"/>
          <w:sz w:val="32"/>
          <w:szCs w:val="32"/>
        </w:rPr>
        <w:t>1,000</w:t>
      </w:r>
      <w:r w:rsidRPr="00A21181">
        <w:rPr>
          <w:rFonts w:ascii="Cambria" w:eastAsia="Cambria" w:hAnsi="Cambria" w:cs="Cambria"/>
          <w:color w:val="000000"/>
          <w:sz w:val="32"/>
          <w:szCs w:val="32"/>
        </w:rPr>
        <w:t xml:space="preserve"> for Medium and fewer than </w:t>
      </w:r>
      <w:r w:rsidRPr="00A21181">
        <w:rPr>
          <w:rFonts w:ascii="Cambria" w:eastAsia="Cambria" w:hAnsi="Cambria" w:cs="Cambria"/>
          <w:b/>
          <w:bCs/>
          <w:color w:val="000000"/>
          <w:sz w:val="32"/>
          <w:szCs w:val="32"/>
        </w:rPr>
        <w:t>300</w:t>
      </w:r>
      <w:r w:rsidRPr="00A21181">
        <w:rPr>
          <w:rFonts w:ascii="Cambria" w:eastAsia="Cambria" w:hAnsi="Cambria" w:cs="Cambria"/>
          <w:color w:val="000000"/>
          <w:sz w:val="32"/>
          <w:szCs w:val="32"/>
        </w:rPr>
        <w:t xml:space="preserve"> for Low.</w:t>
      </w:r>
    </w:p>
    <w:p w14:paraId="04F77E3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Click activity is a clear early indicator of engagement, so a sharp drop in a student’s clicks can be used as an early-warning signal for support teams.</w:t>
      </w:r>
    </w:p>
    <w:p w14:paraId="25B1901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is the distribution of final results (Pass, Fail, Withdrawn and Distinction)?</w:t>
      </w:r>
    </w:p>
    <w:p w14:paraId="27F2B91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Total Students by final result (Dashboard 1: Student Performance &amp; Engagement Overview).</w:t>
      </w:r>
    </w:p>
    <w:p w14:paraId="25B2D02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final result; Values – Total Students.</w:t>
      </w:r>
    </w:p>
    <w:p w14:paraId="57E7BE6F"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70817B7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5DE09EA" wp14:editId="722F34B7">
            <wp:extent cx="3676850" cy="2733574"/>
            <wp:effectExtent l="0" t="0" r="0" b="0"/>
            <wp:docPr id="103" name="q3.png" descr="What is the distribution of final results (Pass, Fail, Withdrawn and Distinction)?"/>
            <wp:cNvGraphicFramePr/>
            <a:graphic xmlns:a="http://schemas.openxmlformats.org/drawingml/2006/main">
              <a:graphicData uri="http://schemas.openxmlformats.org/drawingml/2006/picture">
                <pic:pic xmlns:pic="http://schemas.openxmlformats.org/drawingml/2006/picture">
                  <pic:nvPicPr>
                    <pic:cNvPr id="103" name="q3.png"/>
                    <pic:cNvPicPr/>
                  </pic:nvPicPr>
                  <pic:blipFill>
                    <a:blip r:embed="rId8"/>
                    <a:stretch>
                      <a:fillRect/>
                    </a:stretch>
                  </pic:blipFill>
                  <pic:spPr>
                    <a:xfrm>
                      <a:off x="0" y="0"/>
                      <a:ext cx="3676850" cy="2733574"/>
                    </a:xfrm>
                    <a:prstGeom prst="rect">
                      <a:avLst/>
                    </a:prstGeom>
                    <a:ln w="9525">
                      <a:solidFill>
                        <a:srgbClr val="BFBFBF"/>
                      </a:solidFill>
                    </a:ln>
                  </pic:spPr>
                </pic:pic>
              </a:graphicData>
            </a:graphic>
          </wp:inline>
        </w:drawing>
      </w:r>
    </w:p>
    <w:p w14:paraId="326B827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Pass</w:t>
      </w:r>
      <w:r w:rsidRPr="00A21181">
        <w:rPr>
          <w:rFonts w:ascii="Cambria" w:eastAsia="Cambria" w:hAnsi="Cambria" w:cs="Cambria"/>
          <w:color w:val="000000"/>
          <w:sz w:val="32"/>
          <w:szCs w:val="32"/>
        </w:rPr>
        <w:t xml:space="preserve"> is the most common result at about </w:t>
      </w:r>
      <w:r w:rsidRPr="00A21181">
        <w:rPr>
          <w:rFonts w:ascii="Cambria" w:eastAsia="Cambria" w:hAnsi="Cambria" w:cs="Cambria"/>
          <w:b/>
          <w:bCs/>
          <w:color w:val="000000"/>
          <w:sz w:val="32"/>
          <w:szCs w:val="32"/>
        </w:rPr>
        <w:t>11K</w:t>
      </w:r>
      <w:r w:rsidRPr="00A21181">
        <w:rPr>
          <w:rFonts w:ascii="Cambria" w:eastAsia="Cambria" w:hAnsi="Cambria" w:cs="Cambria"/>
          <w:color w:val="000000"/>
          <w:sz w:val="32"/>
          <w:szCs w:val="32"/>
        </w:rPr>
        <w:t xml:space="preserve"> students, followed by </w:t>
      </w:r>
      <w:r w:rsidRPr="00A21181">
        <w:rPr>
          <w:rFonts w:ascii="Cambria" w:eastAsia="Cambria" w:hAnsi="Cambria" w:cs="Cambria"/>
          <w:b/>
          <w:bCs/>
          <w:color w:val="000000"/>
          <w:sz w:val="32"/>
          <w:szCs w:val="32"/>
        </w:rPr>
        <w:t>Fail</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5.5K</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4.7K</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Distinction</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2.8K</w:t>
      </w:r>
      <w:r w:rsidRPr="00A21181">
        <w:rPr>
          <w:rFonts w:ascii="Cambria" w:eastAsia="Cambria" w:hAnsi="Cambria" w:cs="Cambria"/>
          <w:color w:val="000000"/>
          <w:sz w:val="32"/>
          <w:szCs w:val="32"/>
        </w:rPr>
        <w:t xml:space="preserve">). Roughly </w:t>
      </w:r>
      <w:r w:rsidRPr="00A21181">
        <w:rPr>
          <w:rFonts w:ascii="Cambria" w:eastAsia="Cambria" w:hAnsi="Cambria" w:cs="Cambria"/>
          <w:b/>
          <w:bCs/>
          <w:color w:val="000000"/>
          <w:sz w:val="32"/>
          <w:szCs w:val="32"/>
        </w:rPr>
        <w:t>47%</w:t>
      </w:r>
      <w:r w:rsidRPr="00A21181">
        <w:rPr>
          <w:rFonts w:ascii="Cambria" w:eastAsia="Cambria" w:hAnsi="Cambria" w:cs="Cambria"/>
          <w:color w:val="000000"/>
          <w:sz w:val="32"/>
          <w:szCs w:val="32"/>
        </w:rPr>
        <w:t xml:space="preserve"> of outcomes are Pass and about </w:t>
      </w:r>
      <w:r w:rsidRPr="00A21181">
        <w:rPr>
          <w:rFonts w:ascii="Cambria" w:eastAsia="Cambria" w:hAnsi="Cambria" w:cs="Cambria"/>
          <w:b/>
          <w:bCs/>
          <w:color w:val="000000"/>
          <w:sz w:val="32"/>
          <w:szCs w:val="32"/>
        </w:rPr>
        <w:t>11%</w:t>
      </w:r>
      <w:r w:rsidRPr="00A21181">
        <w:rPr>
          <w:rFonts w:ascii="Cambria" w:eastAsia="Cambria" w:hAnsi="Cambria" w:cs="Cambria"/>
          <w:color w:val="000000"/>
          <w:sz w:val="32"/>
          <w:szCs w:val="32"/>
        </w:rPr>
        <w:t xml:space="preserve"> are Distinction, while Fail and Withdrawn together make up around </w:t>
      </w:r>
      <w:r w:rsidRPr="00A21181">
        <w:rPr>
          <w:rFonts w:ascii="Cambria" w:eastAsia="Cambria" w:hAnsi="Cambria" w:cs="Cambria"/>
          <w:b/>
          <w:bCs/>
          <w:color w:val="000000"/>
          <w:sz w:val="32"/>
          <w:szCs w:val="32"/>
        </w:rPr>
        <w:t>41%</w:t>
      </w:r>
      <w:r w:rsidRPr="00A21181">
        <w:rPr>
          <w:rFonts w:ascii="Cambria" w:eastAsia="Cambria" w:hAnsi="Cambria" w:cs="Cambria"/>
          <w:color w:val="000000"/>
          <w:sz w:val="32"/>
          <w:szCs w:val="32"/>
        </w:rPr>
        <w:t>.</w:t>
      </w:r>
    </w:p>
    <w:p w14:paraId="6177F1A8"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Fail and Withdrawn together are almost as large as Pass, so course completion and retention are the biggest opportunities for improvement.</w:t>
      </w:r>
    </w:p>
    <w:p w14:paraId="517E943F"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engagement level affect final results?</w:t>
      </w:r>
    </w:p>
    <w:p w14:paraId="000A030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split by engagement level and then by final result (Dashboard 2: Risk, Dropout &amp; Demographic Analysis).</w:t>
      </w:r>
    </w:p>
    <w:p w14:paraId="1B235B6B"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engagement level, final result.</w:t>
      </w:r>
    </w:p>
    <w:p w14:paraId="3676E7F9"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AAE033E"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806411A" wp14:editId="42FC3639">
            <wp:extent cx="4138863" cy="3214837"/>
            <wp:effectExtent l="0" t="0" r="0" b="0"/>
            <wp:docPr id="104" name="q4.png" descr="How does engagement level affect final results?"/>
            <wp:cNvGraphicFramePr/>
            <a:graphic xmlns:a="http://schemas.openxmlformats.org/drawingml/2006/main">
              <a:graphicData uri="http://schemas.openxmlformats.org/drawingml/2006/picture">
                <pic:pic xmlns:pic="http://schemas.openxmlformats.org/drawingml/2006/picture">
                  <pic:nvPicPr>
                    <pic:cNvPr id="104" name="q4.png"/>
                    <pic:cNvPicPr/>
                  </pic:nvPicPr>
                  <pic:blipFill>
                    <a:blip r:embed="rId9"/>
                    <a:stretch>
                      <a:fillRect/>
                    </a:stretch>
                  </pic:blipFill>
                  <pic:spPr>
                    <a:xfrm>
                      <a:off x="0" y="0"/>
                      <a:ext cx="4138863" cy="3214837"/>
                    </a:xfrm>
                    <a:prstGeom prst="rect">
                      <a:avLst/>
                    </a:prstGeom>
                    <a:ln w="9525">
                      <a:solidFill>
                        <a:srgbClr val="BFBFBF"/>
                      </a:solidFill>
                    </a:ln>
                  </pic:spPr>
                </pic:pic>
              </a:graphicData>
            </a:graphic>
          </wp:inline>
        </w:drawing>
      </w:r>
    </w:p>
    <w:p w14:paraId="50BF1573"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Selecting </w:t>
      </w:r>
      <w:r w:rsidRPr="00A21181">
        <w:rPr>
          <w:rFonts w:ascii="Cambria" w:eastAsia="Cambria" w:hAnsi="Cambria" w:cs="Cambria"/>
          <w:b/>
          <w:bCs/>
          <w:color w:val="000000"/>
          <w:sz w:val="32"/>
          <w:szCs w:val="32"/>
        </w:rPr>
        <w:t>High</w:t>
      </w:r>
      <w:r w:rsidRPr="00A21181">
        <w:rPr>
          <w:rFonts w:ascii="Cambria" w:eastAsia="Cambria" w:hAnsi="Cambria" w:cs="Cambria"/>
          <w:color w:val="000000"/>
          <w:sz w:val="32"/>
          <w:szCs w:val="32"/>
        </w:rPr>
        <w:t xml:space="preserve"> engagement (7,612 students) shows </w:t>
      </w:r>
      <w:r w:rsidRPr="00A21181">
        <w:rPr>
          <w:rFonts w:ascii="Cambria" w:eastAsia="Cambria" w:hAnsi="Cambria" w:cs="Cambria"/>
          <w:b/>
          <w:bCs/>
          <w:color w:val="000000"/>
          <w:sz w:val="32"/>
          <w:szCs w:val="32"/>
        </w:rPr>
        <w:t>Pass 5,168</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Distinction 1,595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Withdrawn 967</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Fail 915</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78%</w:t>
      </w:r>
      <w:r w:rsidRPr="00A21181">
        <w:rPr>
          <w:rFonts w:ascii="Cambria" w:eastAsia="Cambria" w:hAnsi="Cambria" w:cs="Cambria"/>
          <w:color w:val="000000"/>
          <w:sz w:val="32"/>
          <w:szCs w:val="32"/>
        </w:rPr>
        <w:t xml:space="preserve"> of these students finish with a Pass or Distinction and only about </w:t>
      </w:r>
      <w:r w:rsidRPr="00A21181">
        <w:rPr>
          <w:rFonts w:ascii="Cambria" w:eastAsia="Cambria" w:hAnsi="Cambria" w:cs="Cambria"/>
          <w:b/>
          <w:bCs/>
          <w:color w:val="000000"/>
          <w:sz w:val="32"/>
          <w:szCs w:val="32"/>
        </w:rPr>
        <w:t>22%</w:t>
      </w:r>
      <w:r w:rsidRPr="00A21181">
        <w:rPr>
          <w:rFonts w:ascii="Cambria" w:eastAsia="Cambria" w:hAnsi="Cambria" w:cs="Cambria"/>
          <w:color w:val="000000"/>
          <w:sz w:val="32"/>
          <w:szCs w:val="32"/>
        </w:rPr>
        <w:t xml:space="preserve"> fail or withdraw, compared with roughly </w:t>
      </w:r>
      <w:r w:rsidRPr="00A21181">
        <w:rPr>
          <w:rFonts w:ascii="Cambria" w:eastAsia="Cambria" w:hAnsi="Cambria" w:cs="Cambria"/>
          <w:b/>
          <w:bCs/>
          <w:color w:val="000000"/>
          <w:sz w:val="32"/>
          <w:szCs w:val="32"/>
        </w:rPr>
        <w:t>40%</w:t>
      </w:r>
      <w:r w:rsidRPr="00A21181">
        <w:rPr>
          <w:rFonts w:ascii="Cambria" w:eastAsia="Cambria" w:hAnsi="Cambria" w:cs="Cambria"/>
          <w:color w:val="000000"/>
          <w:sz w:val="32"/>
          <w:szCs w:val="32"/>
        </w:rPr>
        <w:t xml:space="preserve"> across all students in Question 3. The tree can be re-rooted on Medium (8,400) or Low (6,410) engagement to compare the same outcomes.</w:t>
      </w:r>
    </w:p>
    <w:p w14:paraId="4DA6B1E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Higher engagement is associated with roughly half the rate of failure or withdrawal, which supports prioritising measures that raise engagement.</w:t>
      </w:r>
    </w:p>
    <w:p w14:paraId="0F03853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average student score vary across regions?</w:t>
      </w:r>
    </w:p>
    <w:p w14:paraId="151A85D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Average Score by region (Dashboard 1: Student Performance &amp; Engagement Overview).</w:t>
      </w:r>
    </w:p>
    <w:p w14:paraId="358C7FE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region (13 regions); Values – Average Score.</w:t>
      </w:r>
    </w:p>
    <w:p w14:paraId="6A13F771"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1B08962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60B8EFE3" wp14:editId="31D7C6BC">
            <wp:extent cx="3676850" cy="2733574"/>
            <wp:effectExtent l="0" t="0" r="0" b="0"/>
            <wp:docPr id="105" name="q5.png" descr="How does the average student score vary across regions?"/>
            <wp:cNvGraphicFramePr/>
            <a:graphic xmlns:a="http://schemas.openxmlformats.org/drawingml/2006/main">
              <a:graphicData uri="http://schemas.openxmlformats.org/drawingml/2006/picture">
                <pic:pic xmlns:pic="http://schemas.openxmlformats.org/drawingml/2006/picture">
                  <pic:nvPicPr>
                    <pic:cNvPr id="105" name="q5.png"/>
                    <pic:cNvPicPr/>
                  </pic:nvPicPr>
                  <pic:blipFill>
                    <a:blip r:embed="rId10"/>
                    <a:stretch>
                      <a:fillRect/>
                    </a:stretch>
                  </pic:blipFill>
                  <pic:spPr>
                    <a:xfrm>
                      <a:off x="0" y="0"/>
                      <a:ext cx="3676850" cy="2733574"/>
                    </a:xfrm>
                    <a:prstGeom prst="rect">
                      <a:avLst/>
                    </a:prstGeom>
                    <a:ln w="9525">
                      <a:solidFill>
                        <a:srgbClr val="BFBFBF"/>
                      </a:solidFill>
                    </a:ln>
                  </pic:spPr>
                </pic:pic>
              </a:graphicData>
            </a:graphic>
          </wp:inline>
        </w:drawing>
      </w:r>
    </w:p>
    <w:p w14:paraId="3375F3F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Average scores are high and tightly grouped at roughly </w:t>
      </w:r>
      <w:r w:rsidRPr="00A21181">
        <w:rPr>
          <w:rFonts w:ascii="Cambria" w:eastAsia="Cambria" w:hAnsi="Cambria" w:cs="Cambria"/>
          <w:b/>
          <w:bCs/>
          <w:color w:val="000000"/>
          <w:sz w:val="32"/>
          <w:szCs w:val="32"/>
        </w:rPr>
        <w:t>71–75</w:t>
      </w:r>
      <w:r w:rsidRPr="00A21181">
        <w:rPr>
          <w:rFonts w:ascii="Cambria" w:eastAsia="Cambria" w:hAnsi="Cambria" w:cs="Cambria"/>
          <w:color w:val="000000"/>
          <w:sz w:val="32"/>
          <w:szCs w:val="32"/>
        </w:rPr>
        <w:t xml:space="preserve"> in all </w:t>
      </w:r>
      <w:r w:rsidRPr="00A21181">
        <w:rPr>
          <w:rFonts w:ascii="Cambria" w:eastAsia="Cambria" w:hAnsi="Cambria" w:cs="Cambria"/>
          <w:b/>
          <w:bCs/>
          <w:color w:val="000000"/>
          <w:sz w:val="32"/>
          <w:szCs w:val="32"/>
        </w:rPr>
        <w:t>13 regions</w:t>
      </w:r>
      <w:r w:rsidRPr="00A21181">
        <w:rPr>
          <w:rFonts w:ascii="Cambria" w:eastAsia="Cambria" w:hAnsi="Cambria" w:cs="Cambria"/>
          <w:color w:val="000000"/>
          <w:sz w:val="32"/>
          <w:szCs w:val="32"/>
        </w:rPr>
        <w:t xml:space="preserve">. The </w:t>
      </w:r>
      <w:r w:rsidRPr="00A21181">
        <w:rPr>
          <w:rFonts w:ascii="Cambria" w:eastAsia="Cambria" w:hAnsi="Cambria" w:cs="Cambria"/>
          <w:b/>
          <w:bCs/>
          <w:color w:val="000000"/>
          <w:sz w:val="32"/>
          <w:szCs w:val="32"/>
        </w:rPr>
        <w:t>South East Region</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Scotland</w:t>
      </w:r>
      <w:r w:rsidRPr="00A21181">
        <w:rPr>
          <w:rFonts w:ascii="Cambria" w:eastAsia="Cambria" w:hAnsi="Cambria" w:cs="Cambria"/>
          <w:color w:val="000000"/>
          <w:sz w:val="32"/>
          <w:szCs w:val="32"/>
        </w:rPr>
        <w:t xml:space="preserve"> are at the top and the </w:t>
      </w:r>
      <w:r w:rsidRPr="00A21181">
        <w:rPr>
          <w:rFonts w:ascii="Cambria" w:eastAsia="Cambria" w:hAnsi="Cambria" w:cs="Cambria"/>
          <w:b/>
          <w:bCs/>
          <w:color w:val="000000"/>
          <w:sz w:val="32"/>
          <w:szCs w:val="32"/>
        </w:rPr>
        <w:t>North Region</w:t>
      </w:r>
      <w:r w:rsidRPr="00A21181">
        <w:rPr>
          <w:rFonts w:ascii="Cambria" w:eastAsia="Cambria" w:hAnsi="Cambria" w:cs="Cambria"/>
          <w:color w:val="000000"/>
          <w:sz w:val="32"/>
          <w:szCs w:val="32"/>
        </w:rPr>
        <w:t xml:space="preserve"> is lowest, a spread of only about four points.</w:t>
      </w:r>
    </w:p>
    <w:p w14:paraId="4F1C5C3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Because regional differences are small, support should be targeted using engagement, risk and education level rather than region.</w:t>
      </w:r>
    </w:p>
    <w:p w14:paraId="0E0A6088"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What share of students falls into each risk level?</w:t>
      </w:r>
    </w:p>
    <w:p w14:paraId="3F25FDE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Pie chart showing Total Students by risk level (Dashboard 2: Risk, Dropout &amp; Demographic Analysis).</w:t>
      </w:r>
    </w:p>
    <w:p w14:paraId="2F8944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Legend – risk level; Values – Total Students.</w:t>
      </w:r>
    </w:p>
    <w:p w14:paraId="400C4F33"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33472C5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3DEFEA05" wp14:editId="37F1A5D9">
            <wp:extent cx="4446871" cy="2618071"/>
            <wp:effectExtent l="0" t="0" r="0" b="0"/>
            <wp:docPr id="106" name="q6.png" descr="What share of students falls into each risk level?"/>
            <wp:cNvGraphicFramePr/>
            <a:graphic xmlns:a="http://schemas.openxmlformats.org/drawingml/2006/main">
              <a:graphicData uri="http://schemas.openxmlformats.org/drawingml/2006/picture">
                <pic:pic xmlns:pic="http://schemas.openxmlformats.org/drawingml/2006/picture">
                  <pic:nvPicPr>
                    <pic:cNvPr id="106" name="q6.png"/>
                    <pic:cNvPicPr/>
                  </pic:nvPicPr>
                  <pic:blipFill>
                    <a:blip r:embed="rId11"/>
                    <a:stretch>
                      <a:fillRect/>
                    </a:stretch>
                  </pic:blipFill>
                  <pic:spPr>
                    <a:xfrm>
                      <a:off x="0" y="0"/>
                      <a:ext cx="4446871" cy="2618071"/>
                    </a:xfrm>
                    <a:prstGeom prst="rect">
                      <a:avLst/>
                    </a:prstGeom>
                    <a:ln w="9525">
                      <a:solidFill>
                        <a:srgbClr val="BFBFBF"/>
                      </a:solidFill>
                    </a:ln>
                  </pic:spPr>
                </pic:pic>
              </a:graphicData>
            </a:graphic>
          </wp:inline>
        </w:drawing>
      </w:r>
    </w:p>
    <w:p w14:paraId="4C7D1D7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High Risk</w:t>
      </w:r>
      <w:r w:rsidRPr="00A21181">
        <w:rPr>
          <w:rFonts w:ascii="Cambria" w:eastAsia="Cambria" w:hAnsi="Cambria" w:cs="Cambria"/>
          <w:color w:val="000000"/>
          <w:sz w:val="32"/>
          <w:szCs w:val="32"/>
        </w:rPr>
        <w:t xml:space="preserve"> has </w:t>
      </w:r>
      <w:r w:rsidRPr="00A21181">
        <w:rPr>
          <w:rFonts w:ascii="Cambria" w:eastAsia="Cambria" w:hAnsi="Cambria" w:cs="Cambria"/>
          <w:b/>
          <w:bCs/>
          <w:color w:val="000000"/>
          <w:sz w:val="32"/>
          <w:szCs w:val="32"/>
        </w:rPr>
        <w:t>6,391 students (28.5%)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(27.2%), </w:t>
      </w:r>
      <w:r w:rsidRPr="00A21181">
        <w:rPr>
          <w:rFonts w:ascii="Cambria" w:eastAsia="Cambria" w:hAnsi="Cambria" w:cs="Cambria"/>
          <w:b/>
          <w:bCs/>
          <w:color w:val="000000"/>
          <w:sz w:val="32"/>
          <w:szCs w:val="32"/>
        </w:rPr>
        <w:t>Safe</w:t>
      </w:r>
      <w:r w:rsidRPr="00A21181">
        <w:rPr>
          <w:rFonts w:ascii="Cambria" w:eastAsia="Cambria" w:hAnsi="Cambria" w:cs="Cambria"/>
          <w:color w:val="000000"/>
          <w:sz w:val="32"/>
          <w:szCs w:val="32"/>
        </w:rPr>
        <w:t xml:space="preserve"> 5,632 (25.12%) and </w:t>
      </w:r>
      <w:r w:rsidRPr="00A21181">
        <w:rPr>
          <w:rFonts w:ascii="Cambria" w:eastAsia="Cambria" w:hAnsi="Cambria" w:cs="Cambria"/>
          <w:b/>
          <w:bCs/>
          <w:color w:val="000000"/>
          <w:sz w:val="32"/>
          <w:szCs w:val="32"/>
        </w:rPr>
        <w:t>Very High Risk</w:t>
      </w:r>
      <w:r w:rsidRPr="00A21181">
        <w:rPr>
          <w:rFonts w:ascii="Cambria" w:eastAsia="Cambria" w:hAnsi="Cambria" w:cs="Cambria"/>
          <w:color w:val="000000"/>
          <w:sz w:val="32"/>
          <w:szCs w:val="32"/>
        </w:rPr>
        <w:t xml:space="preserve"> 4,300 (19.18%). High Risk and Very High Risk together account for </w:t>
      </w:r>
      <w:r w:rsidRPr="00A21181">
        <w:rPr>
          <w:rFonts w:ascii="Cambria" w:eastAsia="Cambria" w:hAnsi="Cambria" w:cs="Cambria"/>
          <w:b/>
          <w:bCs/>
          <w:color w:val="000000"/>
          <w:sz w:val="32"/>
          <w:szCs w:val="32"/>
        </w:rPr>
        <w:t>10,691 students, about 48%</w:t>
      </w:r>
      <w:r w:rsidRPr="00A21181">
        <w:rPr>
          <w:rFonts w:ascii="Cambria" w:eastAsia="Cambria" w:hAnsi="Cambria" w:cs="Cambria"/>
          <w:color w:val="000000"/>
          <w:sz w:val="32"/>
          <w:szCs w:val="32"/>
        </w:rPr>
        <w:t xml:space="preserve"> of all learners.</w:t>
      </w:r>
    </w:p>
    <w:p w14:paraId="76E0FF0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This sizes the intervention workload for advisers and helps them decide which at-risk groups to contact first.</w:t>
      </w:r>
    </w:p>
    <w:p w14:paraId="30A3A4DA"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Which types of students make up a risk level (by education, gender and region)?</w:t>
      </w:r>
    </w:p>
    <w:p w14:paraId="10F810C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Decomposition tree showing Total Students by risk level, then highest education, gender and region (Dashboard 1: Student Performance &amp; Engagement Overview).</w:t>
      </w:r>
    </w:p>
    <w:p w14:paraId="17A90E2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Analyze – Total Students; Explain by – risk level, highest education, gender, region.</w:t>
      </w:r>
    </w:p>
    <w:p w14:paraId="4B9159F8"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22354A79"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4C743C1D" wp14:editId="22330CEA">
            <wp:extent cx="4937760" cy="2272172"/>
            <wp:effectExtent l="0" t="0" r="0" b="0"/>
            <wp:docPr id="107" name="q7.png" descr="Which types of students make up a risk level (by education, gender and region)?"/>
            <wp:cNvGraphicFramePr/>
            <a:graphic xmlns:a="http://schemas.openxmlformats.org/drawingml/2006/main">
              <a:graphicData uri="http://schemas.openxmlformats.org/drawingml/2006/picture">
                <pic:pic xmlns:pic="http://schemas.openxmlformats.org/drawingml/2006/picture">
                  <pic:nvPicPr>
                    <pic:cNvPr id="107" name="q7.png"/>
                    <pic:cNvPicPr/>
                  </pic:nvPicPr>
                  <pic:blipFill>
                    <a:blip r:embed="rId12"/>
                    <a:stretch>
                      <a:fillRect/>
                    </a:stretch>
                  </pic:blipFill>
                  <pic:spPr>
                    <a:xfrm>
                      <a:off x="0" y="0"/>
                      <a:ext cx="4937760" cy="2272172"/>
                    </a:xfrm>
                    <a:prstGeom prst="rect">
                      <a:avLst/>
                    </a:prstGeom>
                    <a:ln w="9525">
                      <a:solidFill>
                        <a:srgbClr val="BFBFBF"/>
                      </a:solidFill>
                    </a:ln>
                  </pic:spPr>
                </pic:pic>
              </a:graphicData>
            </a:graphic>
          </wp:inline>
        </w:drawing>
      </w:r>
    </w:p>
    <w:p w14:paraId="7176D374"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Drilling into </w:t>
      </w:r>
      <w:r w:rsidRPr="00A21181">
        <w:rPr>
          <w:rFonts w:ascii="Cambria" w:eastAsia="Cambria" w:hAnsi="Cambria" w:cs="Cambria"/>
          <w:b/>
          <w:bCs/>
          <w:color w:val="000000"/>
          <w:sz w:val="32"/>
          <w:szCs w:val="32"/>
        </w:rPr>
        <w:t>Low Risk</w:t>
      </w:r>
      <w:r w:rsidRPr="00A21181">
        <w:rPr>
          <w:rFonts w:ascii="Cambria" w:eastAsia="Cambria" w:hAnsi="Cambria" w:cs="Cambria"/>
          <w:color w:val="000000"/>
          <w:sz w:val="32"/>
          <w:szCs w:val="32"/>
        </w:rPr>
        <w:t xml:space="preserve"> (6,099 students) shows education groups of </w:t>
      </w:r>
      <w:r w:rsidRPr="00A21181">
        <w:rPr>
          <w:rFonts w:ascii="Cambria" w:eastAsia="Cambria" w:hAnsi="Cambria" w:cs="Cambria"/>
          <w:b/>
          <w:bCs/>
          <w:color w:val="000000"/>
          <w:sz w:val="32"/>
          <w:szCs w:val="32"/>
        </w:rPr>
        <w:t>A Level or Equivalent (2,834)</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 xml:space="preserve">Lower Than </w:t>
      </w:r>
      <w:proofErr w:type="gramStart"/>
      <w:r w:rsidRPr="00A21181">
        <w:rPr>
          <w:rFonts w:ascii="Cambria" w:eastAsia="Cambria" w:hAnsi="Cambria" w:cs="Cambria"/>
          <w:b/>
          <w:bCs/>
          <w:color w:val="000000"/>
          <w:sz w:val="32"/>
          <w:szCs w:val="32"/>
        </w:rPr>
        <w:t>A</w:t>
      </w:r>
      <w:proofErr w:type="gramEnd"/>
      <w:r w:rsidRPr="00A21181">
        <w:rPr>
          <w:rFonts w:ascii="Cambria" w:eastAsia="Cambria" w:hAnsi="Cambria" w:cs="Cambria"/>
          <w:b/>
          <w:bCs/>
          <w:color w:val="000000"/>
          <w:sz w:val="32"/>
          <w:szCs w:val="32"/>
        </w:rPr>
        <w:t xml:space="preserve"> Level (2,172)</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HE Qualification (1,016)</w:t>
      </w:r>
      <w:r w:rsidRPr="00A21181">
        <w:rPr>
          <w:rFonts w:ascii="Cambria" w:eastAsia="Cambria" w:hAnsi="Cambria" w:cs="Cambria"/>
          <w:color w:val="000000"/>
          <w:sz w:val="32"/>
          <w:szCs w:val="32"/>
        </w:rPr>
        <w:t xml:space="preserve">, with only </w:t>
      </w:r>
      <w:r w:rsidRPr="00A21181">
        <w:rPr>
          <w:rFonts w:ascii="Cambria" w:eastAsia="Cambria" w:hAnsi="Cambria" w:cs="Cambria"/>
          <w:b/>
          <w:bCs/>
          <w:color w:val="000000"/>
          <w:sz w:val="32"/>
          <w:szCs w:val="32"/>
        </w:rPr>
        <w:t>39</w:t>
      </w:r>
      <w:r w:rsidRPr="00A21181">
        <w:rPr>
          <w:rFonts w:ascii="Cambria" w:eastAsia="Cambria" w:hAnsi="Cambria" w:cs="Cambria"/>
          <w:color w:val="000000"/>
          <w:sz w:val="32"/>
          <w:szCs w:val="32"/>
        </w:rPr>
        <w:t xml:space="preserve"> students holding No Formal quals. Within HE Qualification, </w:t>
      </w:r>
      <w:r w:rsidRPr="00A21181">
        <w:rPr>
          <w:rFonts w:ascii="Cambria" w:eastAsia="Cambria" w:hAnsi="Cambria" w:cs="Cambria"/>
          <w:b/>
          <w:bCs/>
          <w:color w:val="000000"/>
          <w:sz w:val="32"/>
          <w:szCs w:val="32"/>
        </w:rPr>
        <w:t>612</w:t>
      </w:r>
      <w:r w:rsidRPr="00A21181">
        <w:rPr>
          <w:rFonts w:ascii="Cambria" w:eastAsia="Cambria" w:hAnsi="Cambria" w:cs="Cambria"/>
          <w:color w:val="000000"/>
          <w:sz w:val="32"/>
          <w:szCs w:val="32"/>
        </w:rPr>
        <w:t xml:space="preserve"> are male and </w:t>
      </w:r>
      <w:r w:rsidRPr="00A21181">
        <w:rPr>
          <w:rFonts w:ascii="Cambria" w:eastAsia="Cambria" w:hAnsi="Cambria" w:cs="Cambria"/>
          <w:b/>
          <w:bCs/>
          <w:color w:val="000000"/>
          <w:sz w:val="32"/>
          <w:szCs w:val="32"/>
        </w:rPr>
        <w:t>404</w:t>
      </w:r>
      <w:r w:rsidRPr="00A21181">
        <w:rPr>
          <w:rFonts w:ascii="Cambria" w:eastAsia="Cambria" w:hAnsi="Cambria" w:cs="Cambria"/>
          <w:color w:val="000000"/>
          <w:sz w:val="32"/>
          <w:szCs w:val="32"/>
        </w:rPr>
        <w:t xml:space="preserve"> are female; among the women, </w:t>
      </w:r>
      <w:r w:rsidRPr="00A21181">
        <w:rPr>
          <w:rFonts w:ascii="Cambria" w:eastAsia="Cambria" w:hAnsi="Cambria" w:cs="Cambria"/>
          <w:b/>
          <w:bCs/>
          <w:color w:val="000000"/>
          <w:sz w:val="32"/>
          <w:szCs w:val="32"/>
        </w:rPr>
        <w:t>Scotland (116)</w:t>
      </w:r>
      <w:r w:rsidRPr="00A21181">
        <w:rPr>
          <w:rFonts w:ascii="Cambria" w:eastAsia="Cambria" w:hAnsi="Cambria" w:cs="Cambria"/>
          <w:color w:val="000000"/>
          <w:sz w:val="32"/>
          <w:szCs w:val="32"/>
        </w:rPr>
        <w:t xml:space="preserve"> has the most, followed by </w:t>
      </w:r>
      <w:r w:rsidRPr="00A21181">
        <w:rPr>
          <w:rFonts w:ascii="Cambria" w:eastAsia="Cambria" w:hAnsi="Cambria" w:cs="Cambria"/>
          <w:b/>
          <w:bCs/>
          <w:color w:val="000000"/>
          <w:sz w:val="32"/>
          <w:szCs w:val="32"/>
        </w:rPr>
        <w:t>Wales (45)</w:t>
      </w:r>
      <w:r w:rsidRPr="00A21181">
        <w:rPr>
          <w:rFonts w:ascii="Cambria" w:eastAsia="Cambria" w:hAnsi="Cambria" w:cs="Cambria"/>
          <w:color w:val="000000"/>
          <w:sz w:val="32"/>
          <w:szCs w:val="32"/>
        </w:rPr>
        <w:t xml:space="preserve">, </w:t>
      </w:r>
      <w:r w:rsidRPr="00A21181">
        <w:rPr>
          <w:rFonts w:ascii="Cambria" w:eastAsia="Cambria" w:hAnsi="Cambria" w:cs="Cambria"/>
          <w:b/>
          <w:bCs/>
          <w:color w:val="000000"/>
          <w:sz w:val="32"/>
          <w:szCs w:val="32"/>
        </w:rPr>
        <w:t>London Region (43)</w:t>
      </w:r>
      <w:r w:rsidRPr="00A21181">
        <w:rPr>
          <w:rFonts w:ascii="Cambria" w:eastAsia="Cambria" w:hAnsi="Cambria" w:cs="Cambria"/>
          <w:color w:val="000000"/>
          <w:sz w:val="32"/>
          <w:szCs w:val="32"/>
        </w:rPr>
        <w:t xml:space="preserve"> and </w:t>
      </w:r>
      <w:r w:rsidRPr="00A21181">
        <w:rPr>
          <w:rFonts w:ascii="Cambria" w:eastAsia="Cambria" w:hAnsi="Cambria" w:cs="Cambria"/>
          <w:b/>
          <w:bCs/>
          <w:color w:val="000000"/>
          <w:sz w:val="32"/>
          <w:szCs w:val="32"/>
        </w:rPr>
        <w:t>East Anglian Region (31)</w:t>
      </w:r>
      <w:r w:rsidRPr="00A21181">
        <w:rPr>
          <w:rFonts w:ascii="Cambria" w:eastAsia="Cambria" w:hAnsi="Cambria" w:cs="Cambria"/>
          <w:color w:val="000000"/>
          <w:sz w:val="32"/>
          <w:szCs w:val="32"/>
        </w:rPr>
        <w:t>.</w:t>
      </w:r>
    </w:p>
    <w:p w14:paraId="769AFEA0"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Advisers can drill into any risk segment and see exactly who is in it, so support can be aimed at the right group and region.</w:t>
      </w:r>
    </w:p>
    <w:p w14:paraId="33273923"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dropout rate vary with students’ highest education?</w:t>
      </w:r>
    </w:p>
    <w:p w14:paraId="02C7B4AF"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Dropout Rate by highest education (Dashboard 2: Risk, Dropout &amp; Demographic Analysis).</w:t>
      </w:r>
    </w:p>
    <w:p w14:paraId="426B3D3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Dropout Rate.</w:t>
      </w:r>
    </w:p>
    <w:p w14:paraId="271773AC"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49BD430F"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B832176" wp14:editId="10A7650A">
            <wp:extent cx="3455469" cy="2618071"/>
            <wp:effectExtent l="0" t="0" r="0" b="0"/>
            <wp:docPr id="108" name="q8.png" descr="How does the dropout rate vary with students’ highest education?"/>
            <wp:cNvGraphicFramePr/>
            <a:graphic xmlns:a="http://schemas.openxmlformats.org/drawingml/2006/main">
              <a:graphicData uri="http://schemas.openxmlformats.org/drawingml/2006/picture">
                <pic:pic xmlns:pic="http://schemas.openxmlformats.org/drawingml/2006/picture">
                  <pic:nvPicPr>
                    <pic:cNvPr id="108" name="q8.png"/>
                    <pic:cNvPicPr/>
                  </pic:nvPicPr>
                  <pic:blipFill>
                    <a:blip r:embed="rId13"/>
                    <a:stretch>
                      <a:fillRect/>
                    </a:stretch>
                  </pic:blipFill>
                  <pic:spPr>
                    <a:xfrm>
                      <a:off x="0" y="0"/>
                      <a:ext cx="3455469" cy="2618071"/>
                    </a:xfrm>
                    <a:prstGeom prst="rect">
                      <a:avLst/>
                    </a:prstGeom>
                    <a:ln w="9525">
                      <a:solidFill>
                        <a:srgbClr val="BFBFBF"/>
                      </a:solidFill>
                    </a:ln>
                  </pic:spPr>
                </pic:pic>
              </a:graphicData>
            </a:graphic>
          </wp:inline>
        </w:drawing>
      </w:r>
    </w:p>
    <w:p w14:paraId="7CC26B6A"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Dropout falls steadily as prior education rises: about </w:t>
      </w:r>
      <w:r w:rsidRPr="00A21181">
        <w:rPr>
          <w:rFonts w:ascii="Cambria" w:eastAsia="Cambria" w:hAnsi="Cambria" w:cs="Cambria"/>
          <w:b/>
          <w:bCs/>
          <w:color w:val="000000"/>
          <w:sz w:val="32"/>
          <w:szCs w:val="32"/>
        </w:rPr>
        <w:t>28%</w:t>
      </w:r>
      <w:r w:rsidRPr="00A21181">
        <w:rPr>
          <w:rFonts w:ascii="Cambria" w:eastAsia="Cambria" w:hAnsi="Cambria" w:cs="Cambria"/>
          <w:color w:val="000000"/>
          <w:sz w:val="32"/>
          <w:szCs w:val="32"/>
        </w:rPr>
        <w:t xml:space="preserve"> for </w:t>
      </w:r>
      <w:r w:rsidRPr="00A21181">
        <w:rPr>
          <w:rFonts w:ascii="Cambria" w:eastAsia="Cambria" w:hAnsi="Cambria" w:cs="Cambria"/>
          <w:b/>
          <w:bCs/>
          <w:color w:val="000000"/>
          <w:sz w:val="32"/>
          <w:szCs w:val="32"/>
        </w:rPr>
        <w:t>No Formal quals</w:t>
      </w:r>
      <w:r w:rsidRPr="00A21181">
        <w:rPr>
          <w:rFonts w:ascii="Cambria" w:eastAsia="Cambria" w:hAnsi="Cambria" w:cs="Cambria"/>
          <w:color w:val="000000"/>
          <w:sz w:val="32"/>
          <w:szCs w:val="32"/>
        </w:rPr>
        <w:t xml:space="preserve">, about </w:t>
      </w:r>
      <w:r w:rsidRPr="00A21181">
        <w:rPr>
          <w:rFonts w:ascii="Cambria" w:eastAsia="Cambria" w:hAnsi="Cambria" w:cs="Cambria"/>
          <w:b/>
          <w:bCs/>
          <w:color w:val="000000"/>
          <w:sz w:val="32"/>
          <w:szCs w:val="32"/>
        </w:rPr>
        <w:t>24%</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about </w:t>
      </w:r>
      <w:r w:rsidRPr="00A21181">
        <w:rPr>
          <w:rFonts w:ascii="Cambria" w:eastAsia="Cambria" w:hAnsi="Cambria" w:cs="Cambria"/>
          <w:b/>
          <w:bCs/>
          <w:color w:val="000000"/>
          <w:sz w:val="32"/>
          <w:szCs w:val="32"/>
        </w:rPr>
        <w:t>20%</w:t>
      </w:r>
      <w:r w:rsidRPr="00A21181">
        <w:rPr>
          <w:rFonts w:ascii="Cambria" w:eastAsia="Cambria" w:hAnsi="Cambria" w:cs="Cambria"/>
          <w:color w:val="000000"/>
          <w:sz w:val="32"/>
          <w:szCs w:val="32"/>
        </w:rPr>
        <w:t xml:space="preserve"> for both A Level or Equivalent and HE Qualification, and about </w:t>
      </w:r>
      <w:r w:rsidRPr="00A21181">
        <w:rPr>
          <w:rFonts w:ascii="Cambria" w:eastAsia="Cambria" w:hAnsi="Cambria" w:cs="Cambria"/>
          <w:b/>
          <w:bCs/>
          <w:color w:val="000000"/>
          <w:sz w:val="32"/>
          <w:szCs w:val="32"/>
        </w:rPr>
        <w:t>18%</w:t>
      </w:r>
      <w:r w:rsidRPr="00A21181">
        <w:rPr>
          <w:rFonts w:ascii="Cambria" w:eastAsia="Cambria" w:hAnsi="Cambria" w:cs="Cambria"/>
          <w:color w:val="000000"/>
          <w:sz w:val="32"/>
          <w:szCs w:val="32"/>
        </w:rPr>
        <w:t xml:space="preserve"> for Post Graduate. Learners with no formal qualifications drop out about </w:t>
      </w:r>
      <w:r w:rsidRPr="00A21181">
        <w:rPr>
          <w:rFonts w:ascii="Cambria" w:eastAsia="Cambria" w:hAnsi="Cambria" w:cs="Cambria"/>
          <w:b/>
          <w:bCs/>
          <w:color w:val="000000"/>
          <w:sz w:val="32"/>
          <w:szCs w:val="32"/>
        </w:rPr>
        <w:t>1.5 times</w:t>
      </w:r>
      <w:r w:rsidRPr="00A21181">
        <w:rPr>
          <w:rFonts w:ascii="Cambria" w:eastAsia="Cambria" w:hAnsi="Cambria" w:cs="Cambria"/>
          <w:color w:val="000000"/>
          <w:sz w:val="32"/>
          <w:szCs w:val="32"/>
        </w:rPr>
        <w:t xml:space="preserve"> as often as post-graduates.</w:t>
      </w:r>
    </w:p>
    <w:p w14:paraId="499FC0F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Learners with weaker educational backgrounds are the group most in need of bridging modules, mentoring and study-skills support.</w:t>
      </w:r>
    </w:p>
    <w:p w14:paraId="10BA7629"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How does the pass rate vary with students’ highest education?</w:t>
      </w:r>
    </w:p>
    <w:p w14:paraId="5C53BFB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Clustered column chart showing Pass Rate by highest education (Dashboard 2: Risk, Dropout &amp; Demographic Analysis).</w:t>
      </w:r>
    </w:p>
    <w:p w14:paraId="13EF7C05"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highest education; Values – Pass Rate.</w:t>
      </w:r>
    </w:p>
    <w:p w14:paraId="657594CB"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6ADA2CCD"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00DBFAD1" wp14:editId="1231D0A9">
            <wp:extent cx="3744227" cy="2849077"/>
            <wp:effectExtent l="0" t="0" r="0" b="0"/>
            <wp:docPr id="109" name="q9.png" descr="How does the pass rate vary with students’ highest education?"/>
            <wp:cNvGraphicFramePr/>
            <a:graphic xmlns:a="http://schemas.openxmlformats.org/drawingml/2006/main">
              <a:graphicData uri="http://schemas.openxmlformats.org/drawingml/2006/picture">
                <pic:pic xmlns:pic="http://schemas.openxmlformats.org/drawingml/2006/picture">
                  <pic:nvPicPr>
                    <pic:cNvPr id="109" name="q9.png"/>
                    <pic:cNvPicPr/>
                  </pic:nvPicPr>
                  <pic:blipFill>
                    <a:blip r:embed="rId14"/>
                    <a:stretch>
                      <a:fillRect/>
                    </a:stretch>
                  </pic:blipFill>
                  <pic:spPr>
                    <a:xfrm>
                      <a:off x="0" y="0"/>
                      <a:ext cx="3744227" cy="2849077"/>
                    </a:xfrm>
                    <a:prstGeom prst="rect">
                      <a:avLst/>
                    </a:prstGeom>
                    <a:ln w="9525">
                      <a:solidFill>
                        <a:srgbClr val="BFBFBF"/>
                      </a:solidFill>
                    </a:ln>
                  </pic:spPr>
                </pic:pic>
              </a:graphicData>
            </a:graphic>
          </wp:inline>
        </w:drawing>
      </w:r>
    </w:p>
    <w:p w14:paraId="4EF5946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The pass rate rises with prior education: about </w:t>
      </w:r>
      <w:r w:rsidRPr="00A21181">
        <w:rPr>
          <w:rFonts w:ascii="Cambria" w:eastAsia="Cambria" w:hAnsi="Cambria" w:cs="Cambria"/>
          <w:b/>
          <w:bCs/>
          <w:color w:val="000000"/>
          <w:sz w:val="32"/>
          <w:szCs w:val="32"/>
        </w:rPr>
        <w:t>67%</w:t>
      </w:r>
      <w:r w:rsidRPr="00A21181">
        <w:rPr>
          <w:rFonts w:ascii="Cambria" w:eastAsia="Cambria" w:hAnsi="Cambria" w:cs="Cambria"/>
          <w:color w:val="000000"/>
          <w:sz w:val="32"/>
          <w:szCs w:val="32"/>
        </w:rPr>
        <w:t xml:space="preserve"> for Post Graduate, </w:t>
      </w:r>
      <w:r w:rsidRPr="00A21181">
        <w:rPr>
          <w:rFonts w:ascii="Cambria" w:eastAsia="Cambria" w:hAnsi="Cambria" w:cs="Cambria"/>
          <w:b/>
          <w:bCs/>
          <w:color w:val="000000"/>
          <w:sz w:val="32"/>
          <w:szCs w:val="32"/>
        </w:rPr>
        <w:t>65%</w:t>
      </w:r>
      <w:r w:rsidRPr="00A21181">
        <w:rPr>
          <w:rFonts w:ascii="Cambria" w:eastAsia="Cambria" w:hAnsi="Cambria" w:cs="Cambria"/>
          <w:color w:val="000000"/>
          <w:sz w:val="32"/>
          <w:szCs w:val="32"/>
        </w:rPr>
        <w:t xml:space="preserve"> for HE Qualification, </w:t>
      </w:r>
      <w:r w:rsidRPr="00A21181">
        <w:rPr>
          <w:rFonts w:ascii="Cambria" w:eastAsia="Cambria" w:hAnsi="Cambria" w:cs="Cambria"/>
          <w:b/>
          <w:bCs/>
          <w:color w:val="000000"/>
          <w:sz w:val="32"/>
          <w:szCs w:val="32"/>
        </w:rPr>
        <w:t>62%</w:t>
      </w:r>
      <w:r w:rsidRPr="00A21181">
        <w:rPr>
          <w:rFonts w:ascii="Cambria" w:eastAsia="Cambria" w:hAnsi="Cambria" w:cs="Cambria"/>
          <w:color w:val="000000"/>
          <w:sz w:val="32"/>
          <w:szCs w:val="32"/>
        </w:rPr>
        <w:t xml:space="preserve"> for A Level or Equivalent, </w:t>
      </w:r>
      <w:r w:rsidRPr="00A21181">
        <w:rPr>
          <w:rFonts w:ascii="Cambria" w:eastAsia="Cambria" w:hAnsi="Cambria" w:cs="Cambria"/>
          <w:b/>
          <w:bCs/>
          <w:color w:val="000000"/>
          <w:sz w:val="32"/>
          <w:szCs w:val="32"/>
        </w:rPr>
        <w:t>50%</w:t>
      </w:r>
      <w:r w:rsidRPr="00A21181">
        <w:rPr>
          <w:rFonts w:ascii="Cambria" w:eastAsia="Cambria" w:hAnsi="Cambria" w:cs="Cambria"/>
          <w:color w:val="000000"/>
          <w:sz w:val="32"/>
          <w:szCs w:val="32"/>
        </w:rPr>
        <w:t xml:space="preserve"> for Lower Than </w:t>
      </w:r>
      <w:proofErr w:type="gramStart"/>
      <w:r w:rsidRPr="00A21181">
        <w:rPr>
          <w:rFonts w:ascii="Cambria" w:eastAsia="Cambria" w:hAnsi="Cambria" w:cs="Cambria"/>
          <w:color w:val="000000"/>
          <w:sz w:val="32"/>
          <w:szCs w:val="32"/>
        </w:rPr>
        <w:t>A</w:t>
      </w:r>
      <w:proofErr w:type="gramEnd"/>
      <w:r w:rsidRPr="00A21181">
        <w:rPr>
          <w:rFonts w:ascii="Cambria" w:eastAsia="Cambria" w:hAnsi="Cambria" w:cs="Cambria"/>
          <w:color w:val="000000"/>
          <w:sz w:val="32"/>
          <w:szCs w:val="32"/>
        </w:rPr>
        <w:t xml:space="preserve"> Level and only about </w:t>
      </w:r>
      <w:r w:rsidRPr="00A21181">
        <w:rPr>
          <w:rFonts w:ascii="Cambria" w:eastAsia="Cambria" w:hAnsi="Cambria" w:cs="Cambria"/>
          <w:b/>
          <w:bCs/>
          <w:color w:val="000000"/>
          <w:sz w:val="32"/>
          <w:szCs w:val="32"/>
        </w:rPr>
        <w:t>42%</w:t>
      </w:r>
      <w:r w:rsidRPr="00A21181">
        <w:rPr>
          <w:rFonts w:ascii="Cambria" w:eastAsia="Cambria" w:hAnsi="Cambria" w:cs="Cambria"/>
          <w:color w:val="000000"/>
          <w:sz w:val="32"/>
          <w:szCs w:val="32"/>
        </w:rPr>
        <w:t xml:space="preserve"> for No Formal quals, a gap of roughly </w:t>
      </w:r>
      <w:r w:rsidRPr="00A21181">
        <w:rPr>
          <w:rFonts w:ascii="Cambria" w:eastAsia="Cambria" w:hAnsi="Cambria" w:cs="Cambria"/>
          <w:b/>
          <w:bCs/>
          <w:color w:val="000000"/>
          <w:sz w:val="32"/>
          <w:szCs w:val="32"/>
        </w:rPr>
        <w:t>25 percentage points</w:t>
      </w:r>
      <w:r w:rsidRPr="00A21181">
        <w:rPr>
          <w:rFonts w:ascii="Cambria" w:eastAsia="Cambria" w:hAnsi="Cambria" w:cs="Cambria"/>
          <w:color w:val="000000"/>
          <w:sz w:val="32"/>
          <w:szCs w:val="32"/>
        </w:rPr>
        <w:t>. This mirrors the dropout pattern in Question 8.</w:t>
      </w:r>
    </w:p>
    <w:p w14:paraId="3E4A3A42"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Together with Question 8, this confirms prior education as a key driver of success and supports targeted academic support.</w:t>
      </w:r>
    </w:p>
    <w:p w14:paraId="40A9DAD5" w14:textId="77777777" w:rsidR="00451910" w:rsidRPr="00A21181" w:rsidRDefault="004E274E">
      <w:pPr>
        <w:keepNext/>
        <w:numPr>
          <w:ilvl w:val="0"/>
          <w:numId w:val="1"/>
        </w:numPr>
        <w:spacing w:before="280" w:after="80"/>
        <w:rPr>
          <w:rFonts w:ascii="Cambria" w:eastAsia="Cambria" w:hAnsi="Cambria" w:cs="Cambria"/>
          <w:sz w:val="32"/>
          <w:szCs w:val="32"/>
        </w:rPr>
      </w:pPr>
      <w:r w:rsidRPr="00A21181">
        <w:rPr>
          <w:rFonts w:ascii="Cambria" w:eastAsia="Cambria" w:hAnsi="Cambria" w:cs="Cambria"/>
          <w:b/>
          <w:bCs/>
          <w:color w:val="000000"/>
          <w:sz w:val="32"/>
          <w:szCs w:val="32"/>
        </w:rPr>
        <w:t>Do final results differ between male and female students?</w:t>
      </w:r>
    </w:p>
    <w:p w14:paraId="4F3CE39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Visualization</w:t>
      </w:r>
      <w:r w:rsidRPr="00A21181">
        <w:rPr>
          <w:rFonts w:ascii="Cambria" w:eastAsia="Cambria" w:hAnsi="Cambria" w:cs="Cambria"/>
          <w:color w:val="000000"/>
          <w:sz w:val="32"/>
          <w:szCs w:val="32"/>
        </w:rPr>
        <w:t>: 100% stacked bar chart showing Total Students by gender and final result (Dashboard 2: Risk, Dropout &amp; Demographic Analysis).</w:t>
      </w:r>
    </w:p>
    <w:p w14:paraId="6DF3D2E6"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Fields used</w:t>
      </w:r>
      <w:r w:rsidRPr="00A21181">
        <w:rPr>
          <w:rFonts w:ascii="Cambria" w:eastAsia="Cambria" w:hAnsi="Cambria" w:cs="Cambria"/>
          <w:color w:val="000000"/>
          <w:sz w:val="32"/>
          <w:szCs w:val="32"/>
        </w:rPr>
        <w:t>: Axis – gender; Legend – final result; Values – Total Students.</w:t>
      </w:r>
    </w:p>
    <w:p w14:paraId="3DEEA07D" w14:textId="77777777" w:rsidR="00451910" w:rsidRPr="00A21181" w:rsidRDefault="004E274E">
      <w:pPr>
        <w:keepNext/>
        <w:numPr>
          <w:ilvl w:val="1"/>
          <w:numId w:val="1"/>
        </w:numPr>
        <w:spacing w:after="60"/>
        <w:rPr>
          <w:rFonts w:ascii="Cambria" w:eastAsia="Cambria" w:hAnsi="Cambria" w:cs="Cambria"/>
          <w:sz w:val="32"/>
          <w:szCs w:val="32"/>
        </w:rPr>
      </w:pPr>
      <w:r w:rsidRPr="00A21181">
        <w:rPr>
          <w:rFonts w:ascii="Cambria" w:eastAsia="Cambria" w:hAnsi="Cambria" w:cs="Cambria"/>
          <w:i/>
          <w:iCs/>
          <w:color w:val="000000"/>
          <w:sz w:val="32"/>
          <w:szCs w:val="32"/>
        </w:rPr>
        <w:lastRenderedPageBreak/>
        <w:t>Screenshot of visualisation</w:t>
      </w:r>
    </w:p>
    <w:p w14:paraId="068FBAA6" w14:textId="77777777" w:rsidR="00451910" w:rsidRPr="00A21181" w:rsidRDefault="004E274E">
      <w:pPr>
        <w:keepLines/>
        <w:ind w:left="1440"/>
        <w:rPr>
          <w:sz w:val="32"/>
          <w:szCs w:val="32"/>
        </w:rPr>
      </w:pPr>
      <w:r w:rsidRPr="00A21181">
        <w:rPr>
          <w:noProof/>
          <w:sz w:val="32"/>
          <w:szCs w:val="32"/>
          <w:lang w:val="en-US" w:eastAsia="en-US"/>
        </w:rPr>
        <w:drawing>
          <wp:inline distT="0" distB="0" distL="0" distR="0" wp14:anchorId="1C1EA7BC" wp14:editId="5F158916">
            <wp:extent cx="3715351" cy="2618071"/>
            <wp:effectExtent l="0" t="0" r="0" b="0"/>
            <wp:docPr id="110" name="q10.png" descr="Do final results differ between male and female students?"/>
            <wp:cNvGraphicFramePr/>
            <a:graphic xmlns:a="http://schemas.openxmlformats.org/drawingml/2006/main">
              <a:graphicData uri="http://schemas.openxmlformats.org/drawingml/2006/picture">
                <pic:pic xmlns:pic="http://schemas.openxmlformats.org/drawingml/2006/picture">
                  <pic:nvPicPr>
                    <pic:cNvPr id="110" name="q10.png"/>
                    <pic:cNvPicPr/>
                  </pic:nvPicPr>
                  <pic:blipFill>
                    <a:blip r:embed="rId15"/>
                    <a:stretch>
                      <a:fillRect/>
                    </a:stretch>
                  </pic:blipFill>
                  <pic:spPr>
                    <a:xfrm>
                      <a:off x="0" y="0"/>
                      <a:ext cx="3715351" cy="2618071"/>
                    </a:xfrm>
                    <a:prstGeom prst="rect">
                      <a:avLst/>
                    </a:prstGeom>
                    <a:ln w="9525">
                      <a:solidFill>
                        <a:srgbClr val="BFBFBF"/>
                      </a:solidFill>
                    </a:ln>
                  </pic:spPr>
                </pic:pic>
              </a:graphicData>
            </a:graphic>
          </wp:inline>
        </w:drawing>
      </w:r>
    </w:p>
    <w:p w14:paraId="52F8209C"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Insights</w:t>
      </w:r>
      <w:r w:rsidRPr="00A21181">
        <w:rPr>
          <w:rFonts w:ascii="Cambria" w:eastAsia="Cambria" w:hAnsi="Cambria" w:cs="Cambria"/>
          <w:color w:val="000000"/>
          <w:sz w:val="32"/>
          <w:szCs w:val="32"/>
        </w:rPr>
        <w:t xml:space="preserve">: Outcome patterns are broadly similar, but female students do slightly better: about </w:t>
      </w:r>
      <w:r w:rsidRPr="00A21181">
        <w:rPr>
          <w:rFonts w:ascii="Cambria" w:eastAsia="Cambria" w:hAnsi="Cambria" w:cs="Cambria"/>
          <w:b/>
          <w:bCs/>
          <w:color w:val="000000"/>
          <w:sz w:val="32"/>
          <w:szCs w:val="32"/>
        </w:rPr>
        <w:t>49%</w:t>
      </w:r>
      <w:r w:rsidRPr="00A21181">
        <w:rPr>
          <w:rFonts w:ascii="Cambria" w:eastAsia="Cambria" w:hAnsi="Cambria" w:cs="Cambria"/>
          <w:color w:val="000000"/>
          <w:sz w:val="32"/>
          <w:szCs w:val="32"/>
        </w:rPr>
        <w:t xml:space="preserve"> of women Pass compared with about </w:t>
      </w:r>
      <w:r w:rsidRPr="00A21181">
        <w:rPr>
          <w:rFonts w:ascii="Cambria" w:eastAsia="Cambria" w:hAnsi="Cambria" w:cs="Cambria"/>
          <w:b/>
          <w:bCs/>
          <w:color w:val="000000"/>
          <w:sz w:val="32"/>
          <w:szCs w:val="32"/>
        </w:rPr>
        <w:t>45%</w:t>
      </w:r>
      <w:r w:rsidRPr="00A21181">
        <w:rPr>
          <w:rFonts w:ascii="Cambria" w:eastAsia="Cambria" w:hAnsi="Cambria" w:cs="Cambria"/>
          <w:color w:val="000000"/>
          <w:sz w:val="32"/>
          <w:szCs w:val="32"/>
        </w:rPr>
        <w:t xml:space="preserve"> of men, and about </w:t>
      </w:r>
      <w:r w:rsidRPr="00A21181">
        <w:rPr>
          <w:rFonts w:ascii="Cambria" w:eastAsia="Cambria" w:hAnsi="Cambria" w:cs="Cambria"/>
          <w:b/>
          <w:bCs/>
          <w:color w:val="000000"/>
          <w:sz w:val="32"/>
          <w:szCs w:val="32"/>
        </w:rPr>
        <w:t>17%</w:t>
      </w:r>
      <w:r w:rsidRPr="00A21181">
        <w:rPr>
          <w:rFonts w:ascii="Cambria" w:eastAsia="Cambria" w:hAnsi="Cambria" w:cs="Cambria"/>
          <w:color w:val="000000"/>
          <w:sz w:val="32"/>
          <w:szCs w:val="32"/>
        </w:rPr>
        <w:t xml:space="preserve"> of women Withdraw compared with about </w:t>
      </w:r>
      <w:r w:rsidRPr="00A21181">
        <w:rPr>
          <w:rFonts w:ascii="Cambria" w:eastAsia="Cambria" w:hAnsi="Cambria" w:cs="Cambria"/>
          <w:b/>
          <w:bCs/>
          <w:color w:val="000000"/>
          <w:sz w:val="32"/>
          <w:szCs w:val="32"/>
        </w:rPr>
        <w:t>21%</w:t>
      </w:r>
      <w:r w:rsidRPr="00A21181">
        <w:rPr>
          <w:rFonts w:ascii="Cambria" w:eastAsia="Cambria" w:hAnsi="Cambria" w:cs="Cambria"/>
          <w:color w:val="000000"/>
          <w:sz w:val="32"/>
          <w:szCs w:val="32"/>
        </w:rPr>
        <w:t xml:space="preserve"> of men. Distinction (about 11–12%) and Fail (about 22–23%) are close for both genders.</w:t>
      </w:r>
    </w:p>
    <w:p w14:paraId="1407E441" w14:textId="77777777" w:rsidR="00451910" w:rsidRPr="00A21181" w:rsidRDefault="004E274E">
      <w:pPr>
        <w:numPr>
          <w:ilvl w:val="1"/>
          <w:numId w:val="1"/>
        </w:numPr>
        <w:spacing w:after="80"/>
        <w:rPr>
          <w:rFonts w:ascii="Cambria" w:eastAsia="Cambria" w:hAnsi="Cambria" w:cs="Cambria"/>
          <w:sz w:val="32"/>
          <w:szCs w:val="32"/>
        </w:rPr>
      </w:pPr>
      <w:r w:rsidRPr="00A21181">
        <w:rPr>
          <w:rFonts w:ascii="Cambria" w:eastAsia="Cambria" w:hAnsi="Cambria" w:cs="Cambria"/>
          <w:i/>
          <w:iCs/>
          <w:color w:val="000000"/>
          <w:sz w:val="32"/>
          <w:szCs w:val="32"/>
        </w:rPr>
        <w:t>Business value</w:t>
      </w:r>
      <w:r w:rsidRPr="00A21181">
        <w:rPr>
          <w:rFonts w:ascii="Cambria" w:eastAsia="Cambria" w:hAnsi="Cambria" w:cs="Cambria"/>
          <w:color w:val="000000"/>
          <w:sz w:val="32"/>
          <w:szCs w:val="32"/>
        </w:rPr>
        <w:t>: There is no large gender gap in results, but the higher withdrawal rate among men suggests retention efforts for male learners deserve attention.</w:t>
      </w:r>
    </w:p>
    <w:p w14:paraId="0DCC5474" w14:textId="77777777" w:rsidR="00451910" w:rsidRPr="00A21181" w:rsidRDefault="004E274E">
      <w:pPr>
        <w:keepNext/>
        <w:spacing w:before="240" w:after="120"/>
        <w:ind w:left="720"/>
        <w:rPr>
          <w:rFonts w:ascii="Cambria" w:eastAsia="Cambria" w:hAnsi="Cambria" w:cs="Cambria"/>
          <w:sz w:val="32"/>
          <w:szCs w:val="32"/>
        </w:rPr>
      </w:pPr>
      <w:r w:rsidRPr="00A21181">
        <w:rPr>
          <w:rFonts w:ascii="Cambria" w:eastAsia="Cambria" w:hAnsi="Cambria" w:cs="Cambria"/>
          <w:b/>
          <w:bCs/>
          <w:color w:val="000000"/>
          <w:sz w:val="32"/>
          <w:szCs w:val="32"/>
        </w:rPr>
        <w:t>Summary of Visualisations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00"/>
        <w:gridCol w:w="3900"/>
        <w:gridCol w:w="2926"/>
        <w:gridCol w:w="1600"/>
      </w:tblGrid>
      <w:tr w:rsidR="00451910" w:rsidRPr="00A21181" w14:paraId="494736E6" w14:textId="77777777">
        <w:trPr>
          <w:cantSplit/>
          <w:tblHeader/>
        </w:trPr>
        <w:tc>
          <w:tcPr>
            <w:tcW w:w="600" w:type="dxa"/>
            <w:shd w:val="clear" w:color="auto" w:fill="D9E2F3"/>
            <w:tcMar>
              <w:top w:w="60" w:type="dxa"/>
              <w:left w:w="100" w:type="dxa"/>
              <w:bottom w:w="60" w:type="dxa"/>
              <w:right w:w="100" w:type="dxa"/>
            </w:tcMar>
          </w:tcPr>
          <w:p w14:paraId="72D09A8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No.</w:t>
            </w:r>
          </w:p>
        </w:tc>
        <w:tc>
          <w:tcPr>
            <w:tcW w:w="3900" w:type="dxa"/>
            <w:shd w:val="clear" w:color="auto" w:fill="D9E2F3"/>
            <w:tcMar>
              <w:top w:w="60" w:type="dxa"/>
              <w:left w:w="100" w:type="dxa"/>
              <w:bottom w:w="60" w:type="dxa"/>
              <w:right w:w="100" w:type="dxa"/>
            </w:tcMar>
          </w:tcPr>
          <w:p w14:paraId="47C4928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Business question</w:t>
            </w:r>
          </w:p>
        </w:tc>
        <w:tc>
          <w:tcPr>
            <w:tcW w:w="2926" w:type="dxa"/>
            <w:shd w:val="clear" w:color="auto" w:fill="D9E2F3"/>
            <w:tcMar>
              <w:top w:w="60" w:type="dxa"/>
              <w:left w:w="100" w:type="dxa"/>
              <w:bottom w:w="60" w:type="dxa"/>
              <w:right w:w="100" w:type="dxa"/>
            </w:tcMar>
          </w:tcPr>
          <w:p w14:paraId="5B35C6C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Visualization</w:t>
            </w:r>
          </w:p>
        </w:tc>
        <w:tc>
          <w:tcPr>
            <w:tcW w:w="1600" w:type="dxa"/>
            <w:shd w:val="clear" w:color="auto" w:fill="D9E2F3"/>
            <w:tcMar>
              <w:top w:w="60" w:type="dxa"/>
              <w:left w:w="100" w:type="dxa"/>
              <w:bottom w:w="60" w:type="dxa"/>
              <w:right w:w="100" w:type="dxa"/>
            </w:tcMar>
          </w:tcPr>
          <w:p w14:paraId="39172DD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b/>
                <w:bCs/>
                <w:color w:val="000000"/>
                <w:sz w:val="32"/>
                <w:szCs w:val="32"/>
              </w:rPr>
              <w:t>Dashboard</w:t>
            </w:r>
          </w:p>
        </w:tc>
      </w:tr>
      <w:tr w:rsidR="00451910" w:rsidRPr="00A21181" w14:paraId="5BE61660" w14:textId="77777777">
        <w:trPr>
          <w:cantSplit/>
        </w:trPr>
        <w:tc>
          <w:tcPr>
            <w:tcW w:w="600" w:type="dxa"/>
            <w:tcMar>
              <w:top w:w="60" w:type="dxa"/>
              <w:left w:w="100" w:type="dxa"/>
              <w:bottom w:w="60" w:type="dxa"/>
              <w:right w:w="100" w:type="dxa"/>
            </w:tcMar>
          </w:tcPr>
          <w:p w14:paraId="4C11F78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w:t>
            </w:r>
          </w:p>
        </w:tc>
        <w:tc>
          <w:tcPr>
            <w:tcW w:w="3900" w:type="dxa"/>
            <w:tcMar>
              <w:top w:w="60" w:type="dxa"/>
              <w:left w:w="100" w:type="dxa"/>
              <w:bottom w:w="60" w:type="dxa"/>
              <w:right w:w="100" w:type="dxa"/>
            </w:tcMar>
          </w:tcPr>
          <w:p w14:paraId="6853194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are students distributed across engagement levels?</w:t>
            </w:r>
          </w:p>
        </w:tc>
        <w:tc>
          <w:tcPr>
            <w:tcW w:w="2926" w:type="dxa"/>
            <w:tcMar>
              <w:top w:w="60" w:type="dxa"/>
              <w:left w:w="100" w:type="dxa"/>
              <w:bottom w:w="60" w:type="dxa"/>
              <w:right w:w="100" w:type="dxa"/>
            </w:tcMar>
          </w:tcPr>
          <w:p w14:paraId="56FD2A4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494AF6AD"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0FB420C3" w14:textId="77777777">
        <w:trPr>
          <w:cantSplit/>
        </w:trPr>
        <w:tc>
          <w:tcPr>
            <w:tcW w:w="600" w:type="dxa"/>
            <w:tcMar>
              <w:top w:w="60" w:type="dxa"/>
              <w:left w:w="100" w:type="dxa"/>
              <w:bottom w:w="60" w:type="dxa"/>
              <w:right w:w="100" w:type="dxa"/>
            </w:tcMar>
          </w:tcPr>
          <w:p w14:paraId="24F53E5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2</w:t>
            </w:r>
          </w:p>
        </w:tc>
        <w:tc>
          <w:tcPr>
            <w:tcW w:w="3900" w:type="dxa"/>
            <w:tcMar>
              <w:top w:w="60" w:type="dxa"/>
              <w:left w:w="100" w:type="dxa"/>
              <w:bottom w:w="60" w:type="dxa"/>
              <w:right w:w="100" w:type="dxa"/>
            </w:tcMar>
          </w:tcPr>
          <w:p w14:paraId="6F6449F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much learning activity (clicks) does each engagement level generate?</w:t>
            </w:r>
          </w:p>
        </w:tc>
        <w:tc>
          <w:tcPr>
            <w:tcW w:w="2926" w:type="dxa"/>
            <w:tcMar>
              <w:top w:w="60" w:type="dxa"/>
              <w:left w:w="100" w:type="dxa"/>
              <w:bottom w:w="60" w:type="dxa"/>
              <w:right w:w="100" w:type="dxa"/>
            </w:tcMar>
          </w:tcPr>
          <w:p w14:paraId="75759C4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3BFA62F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1F8701EA" w14:textId="77777777">
        <w:trPr>
          <w:cantSplit/>
        </w:trPr>
        <w:tc>
          <w:tcPr>
            <w:tcW w:w="600" w:type="dxa"/>
            <w:tcMar>
              <w:top w:w="60" w:type="dxa"/>
              <w:left w:w="100" w:type="dxa"/>
              <w:bottom w:w="60" w:type="dxa"/>
              <w:right w:w="100" w:type="dxa"/>
            </w:tcMar>
          </w:tcPr>
          <w:p w14:paraId="0C5989B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lastRenderedPageBreak/>
              <w:t>3</w:t>
            </w:r>
          </w:p>
        </w:tc>
        <w:tc>
          <w:tcPr>
            <w:tcW w:w="3900" w:type="dxa"/>
            <w:tcMar>
              <w:top w:w="60" w:type="dxa"/>
              <w:left w:w="100" w:type="dxa"/>
              <w:bottom w:w="60" w:type="dxa"/>
              <w:right w:w="100" w:type="dxa"/>
            </w:tcMar>
          </w:tcPr>
          <w:p w14:paraId="6204359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is the distribution of final results (Pass, Fail, Withdrawn and Distinction)?</w:t>
            </w:r>
          </w:p>
        </w:tc>
        <w:tc>
          <w:tcPr>
            <w:tcW w:w="2926" w:type="dxa"/>
            <w:tcMar>
              <w:top w:w="60" w:type="dxa"/>
              <w:left w:w="100" w:type="dxa"/>
              <w:bottom w:w="60" w:type="dxa"/>
              <w:right w:w="100" w:type="dxa"/>
            </w:tcMar>
          </w:tcPr>
          <w:p w14:paraId="568A0B4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8E04A1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4755FB96" w14:textId="77777777">
        <w:trPr>
          <w:cantSplit/>
        </w:trPr>
        <w:tc>
          <w:tcPr>
            <w:tcW w:w="600" w:type="dxa"/>
            <w:tcMar>
              <w:top w:w="60" w:type="dxa"/>
              <w:left w:w="100" w:type="dxa"/>
              <w:bottom w:w="60" w:type="dxa"/>
              <w:right w:w="100" w:type="dxa"/>
            </w:tcMar>
          </w:tcPr>
          <w:p w14:paraId="1961324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4</w:t>
            </w:r>
          </w:p>
        </w:tc>
        <w:tc>
          <w:tcPr>
            <w:tcW w:w="3900" w:type="dxa"/>
            <w:tcMar>
              <w:top w:w="60" w:type="dxa"/>
              <w:left w:w="100" w:type="dxa"/>
              <w:bottom w:w="60" w:type="dxa"/>
              <w:right w:w="100" w:type="dxa"/>
            </w:tcMar>
          </w:tcPr>
          <w:p w14:paraId="40D246C0"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engagement level affect final results?</w:t>
            </w:r>
          </w:p>
        </w:tc>
        <w:tc>
          <w:tcPr>
            <w:tcW w:w="2926" w:type="dxa"/>
            <w:tcMar>
              <w:top w:w="60" w:type="dxa"/>
              <w:left w:w="100" w:type="dxa"/>
              <w:bottom w:w="60" w:type="dxa"/>
              <w:right w:w="100" w:type="dxa"/>
            </w:tcMar>
          </w:tcPr>
          <w:p w14:paraId="5DF10AB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0335F07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3C9B46D6" w14:textId="77777777">
        <w:trPr>
          <w:cantSplit/>
        </w:trPr>
        <w:tc>
          <w:tcPr>
            <w:tcW w:w="600" w:type="dxa"/>
            <w:tcMar>
              <w:top w:w="60" w:type="dxa"/>
              <w:left w:w="100" w:type="dxa"/>
              <w:bottom w:w="60" w:type="dxa"/>
              <w:right w:w="100" w:type="dxa"/>
            </w:tcMar>
          </w:tcPr>
          <w:p w14:paraId="48A18FD9"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5</w:t>
            </w:r>
          </w:p>
        </w:tc>
        <w:tc>
          <w:tcPr>
            <w:tcW w:w="3900" w:type="dxa"/>
            <w:tcMar>
              <w:top w:w="60" w:type="dxa"/>
              <w:left w:w="100" w:type="dxa"/>
              <w:bottom w:w="60" w:type="dxa"/>
              <w:right w:w="100" w:type="dxa"/>
            </w:tcMar>
          </w:tcPr>
          <w:p w14:paraId="791846F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average student score vary across regions?</w:t>
            </w:r>
          </w:p>
        </w:tc>
        <w:tc>
          <w:tcPr>
            <w:tcW w:w="2926" w:type="dxa"/>
            <w:tcMar>
              <w:top w:w="60" w:type="dxa"/>
              <w:left w:w="100" w:type="dxa"/>
              <w:bottom w:w="60" w:type="dxa"/>
              <w:right w:w="100" w:type="dxa"/>
            </w:tcMar>
          </w:tcPr>
          <w:p w14:paraId="3366F7A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103782A2"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333BA4AA" w14:textId="77777777">
        <w:trPr>
          <w:cantSplit/>
        </w:trPr>
        <w:tc>
          <w:tcPr>
            <w:tcW w:w="600" w:type="dxa"/>
            <w:tcMar>
              <w:top w:w="60" w:type="dxa"/>
              <w:left w:w="100" w:type="dxa"/>
              <w:bottom w:w="60" w:type="dxa"/>
              <w:right w:w="100" w:type="dxa"/>
            </w:tcMar>
          </w:tcPr>
          <w:p w14:paraId="2BF94C3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6</w:t>
            </w:r>
          </w:p>
        </w:tc>
        <w:tc>
          <w:tcPr>
            <w:tcW w:w="3900" w:type="dxa"/>
            <w:tcMar>
              <w:top w:w="60" w:type="dxa"/>
              <w:left w:w="100" w:type="dxa"/>
              <w:bottom w:w="60" w:type="dxa"/>
              <w:right w:w="100" w:type="dxa"/>
            </w:tcMar>
          </w:tcPr>
          <w:p w14:paraId="15EED1D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What share of students falls into each risk level?</w:t>
            </w:r>
          </w:p>
        </w:tc>
        <w:tc>
          <w:tcPr>
            <w:tcW w:w="2926" w:type="dxa"/>
            <w:tcMar>
              <w:top w:w="60" w:type="dxa"/>
              <w:left w:w="100" w:type="dxa"/>
              <w:bottom w:w="60" w:type="dxa"/>
              <w:right w:w="100" w:type="dxa"/>
            </w:tcMar>
          </w:tcPr>
          <w:p w14:paraId="05F44354"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Pie chart</w:t>
            </w:r>
          </w:p>
        </w:tc>
        <w:tc>
          <w:tcPr>
            <w:tcW w:w="1600" w:type="dxa"/>
            <w:tcMar>
              <w:top w:w="60" w:type="dxa"/>
              <w:left w:w="100" w:type="dxa"/>
              <w:bottom w:w="60" w:type="dxa"/>
              <w:right w:w="100" w:type="dxa"/>
            </w:tcMar>
          </w:tcPr>
          <w:p w14:paraId="06C79F6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B625DCE" w14:textId="77777777">
        <w:trPr>
          <w:cantSplit/>
        </w:trPr>
        <w:tc>
          <w:tcPr>
            <w:tcW w:w="600" w:type="dxa"/>
            <w:tcMar>
              <w:top w:w="60" w:type="dxa"/>
              <w:left w:w="100" w:type="dxa"/>
              <w:bottom w:w="60" w:type="dxa"/>
              <w:right w:w="100" w:type="dxa"/>
            </w:tcMar>
          </w:tcPr>
          <w:p w14:paraId="1228CA9A"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7</w:t>
            </w:r>
          </w:p>
        </w:tc>
        <w:tc>
          <w:tcPr>
            <w:tcW w:w="3900" w:type="dxa"/>
            <w:tcMar>
              <w:top w:w="60" w:type="dxa"/>
              <w:left w:w="100" w:type="dxa"/>
              <w:bottom w:w="60" w:type="dxa"/>
              <w:right w:w="100" w:type="dxa"/>
            </w:tcMar>
          </w:tcPr>
          <w:p w14:paraId="41F13C4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Which types of students make up a risk level (by education, gender and region)?</w:t>
            </w:r>
          </w:p>
        </w:tc>
        <w:tc>
          <w:tcPr>
            <w:tcW w:w="2926" w:type="dxa"/>
            <w:tcMar>
              <w:top w:w="60" w:type="dxa"/>
              <w:left w:w="100" w:type="dxa"/>
              <w:bottom w:w="60" w:type="dxa"/>
              <w:right w:w="100" w:type="dxa"/>
            </w:tcMar>
          </w:tcPr>
          <w:p w14:paraId="5EA34551"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Decomposition tree</w:t>
            </w:r>
          </w:p>
        </w:tc>
        <w:tc>
          <w:tcPr>
            <w:tcW w:w="1600" w:type="dxa"/>
            <w:tcMar>
              <w:top w:w="60" w:type="dxa"/>
              <w:left w:w="100" w:type="dxa"/>
              <w:bottom w:w="60" w:type="dxa"/>
              <w:right w:w="100" w:type="dxa"/>
            </w:tcMar>
          </w:tcPr>
          <w:p w14:paraId="38A70B1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1</w:t>
            </w:r>
          </w:p>
        </w:tc>
      </w:tr>
      <w:tr w:rsidR="00451910" w:rsidRPr="00A21181" w14:paraId="5AF3769A" w14:textId="77777777">
        <w:trPr>
          <w:cantSplit/>
        </w:trPr>
        <w:tc>
          <w:tcPr>
            <w:tcW w:w="600" w:type="dxa"/>
            <w:tcMar>
              <w:top w:w="60" w:type="dxa"/>
              <w:left w:w="100" w:type="dxa"/>
              <w:bottom w:w="60" w:type="dxa"/>
              <w:right w:w="100" w:type="dxa"/>
            </w:tcMar>
          </w:tcPr>
          <w:p w14:paraId="07B594D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8</w:t>
            </w:r>
          </w:p>
        </w:tc>
        <w:tc>
          <w:tcPr>
            <w:tcW w:w="3900" w:type="dxa"/>
            <w:tcMar>
              <w:top w:w="60" w:type="dxa"/>
              <w:left w:w="100" w:type="dxa"/>
              <w:bottom w:w="60" w:type="dxa"/>
              <w:right w:w="100" w:type="dxa"/>
            </w:tcMar>
          </w:tcPr>
          <w:p w14:paraId="5C1C7A7C"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dropout rate vary with students’ highest education?</w:t>
            </w:r>
          </w:p>
        </w:tc>
        <w:tc>
          <w:tcPr>
            <w:tcW w:w="2926" w:type="dxa"/>
            <w:tcMar>
              <w:top w:w="60" w:type="dxa"/>
              <w:left w:w="100" w:type="dxa"/>
              <w:bottom w:w="60" w:type="dxa"/>
              <w:right w:w="100" w:type="dxa"/>
            </w:tcMar>
          </w:tcPr>
          <w:p w14:paraId="4B93DA9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023589C8"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7899EBE6" w14:textId="77777777">
        <w:trPr>
          <w:cantSplit/>
        </w:trPr>
        <w:tc>
          <w:tcPr>
            <w:tcW w:w="600" w:type="dxa"/>
            <w:tcMar>
              <w:top w:w="60" w:type="dxa"/>
              <w:left w:w="100" w:type="dxa"/>
              <w:bottom w:w="60" w:type="dxa"/>
              <w:right w:w="100" w:type="dxa"/>
            </w:tcMar>
          </w:tcPr>
          <w:p w14:paraId="4919CD9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9</w:t>
            </w:r>
          </w:p>
        </w:tc>
        <w:tc>
          <w:tcPr>
            <w:tcW w:w="3900" w:type="dxa"/>
            <w:tcMar>
              <w:top w:w="60" w:type="dxa"/>
              <w:left w:w="100" w:type="dxa"/>
              <w:bottom w:w="60" w:type="dxa"/>
              <w:right w:w="100" w:type="dxa"/>
            </w:tcMar>
          </w:tcPr>
          <w:p w14:paraId="7DF0C396"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How does the pass rate vary with students’ highest education?</w:t>
            </w:r>
          </w:p>
        </w:tc>
        <w:tc>
          <w:tcPr>
            <w:tcW w:w="2926" w:type="dxa"/>
            <w:tcMar>
              <w:top w:w="60" w:type="dxa"/>
              <w:left w:w="100" w:type="dxa"/>
              <w:bottom w:w="60" w:type="dxa"/>
              <w:right w:w="100" w:type="dxa"/>
            </w:tcMar>
          </w:tcPr>
          <w:p w14:paraId="188C585E"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Clustered column chart</w:t>
            </w:r>
          </w:p>
        </w:tc>
        <w:tc>
          <w:tcPr>
            <w:tcW w:w="1600" w:type="dxa"/>
            <w:tcMar>
              <w:top w:w="60" w:type="dxa"/>
              <w:left w:w="100" w:type="dxa"/>
              <w:bottom w:w="60" w:type="dxa"/>
              <w:right w:w="100" w:type="dxa"/>
            </w:tcMar>
          </w:tcPr>
          <w:p w14:paraId="5B26BFD3"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r w:rsidR="00451910" w:rsidRPr="00A21181" w14:paraId="21683D5E" w14:textId="77777777">
        <w:trPr>
          <w:cantSplit/>
        </w:trPr>
        <w:tc>
          <w:tcPr>
            <w:tcW w:w="600" w:type="dxa"/>
            <w:tcMar>
              <w:top w:w="60" w:type="dxa"/>
              <w:left w:w="100" w:type="dxa"/>
              <w:bottom w:w="60" w:type="dxa"/>
              <w:right w:w="100" w:type="dxa"/>
            </w:tcMar>
          </w:tcPr>
          <w:p w14:paraId="43FBC61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w:t>
            </w:r>
          </w:p>
        </w:tc>
        <w:tc>
          <w:tcPr>
            <w:tcW w:w="3900" w:type="dxa"/>
            <w:tcMar>
              <w:top w:w="60" w:type="dxa"/>
              <w:left w:w="100" w:type="dxa"/>
              <w:bottom w:w="60" w:type="dxa"/>
              <w:right w:w="100" w:type="dxa"/>
            </w:tcMar>
          </w:tcPr>
          <w:p w14:paraId="2CEC7EEF"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Do final results differ between male and female students?</w:t>
            </w:r>
          </w:p>
        </w:tc>
        <w:tc>
          <w:tcPr>
            <w:tcW w:w="2926" w:type="dxa"/>
            <w:tcMar>
              <w:top w:w="60" w:type="dxa"/>
              <w:left w:w="100" w:type="dxa"/>
              <w:bottom w:w="60" w:type="dxa"/>
              <w:right w:w="100" w:type="dxa"/>
            </w:tcMar>
          </w:tcPr>
          <w:p w14:paraId="07CE7157"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100% stacked bar chart</w:t>
            </w:r>
          </w:p>
        </w:tc>
        <w:tc>
          <w:tcPr>
            <w:tcW w:w="1600" w:type="dxa"/>
            <w:tcMar>
              <w:top w:w="60" w:type="dxa"/>
              <w:left w:w="100" w:type="dxa"/>
              <w:bottom w:w="60" w:type="dxa"/>
              <w:right w:w="100" w:type="dxa"/>
            </w:tcMar>
          </w:tcPr>
          <w:p w14:paraId="15DEDA45" w14:textId="77777777" w:rsidR="00451910" w:rsidRPr="00A21181" w:rsidRDefault="004E274E">
            <w:pPr>
              <w:spacing w:after="0" w:line="240" w:lineRule="auto"/>
              <w:rPr>
                <w:rFonts w:ascii="Cambria" w:eastAsia="Cambria" w:hAnsi="Cambria" w:cs="Cambria"/>
                <w:sz w:val="32"/>
                <w:szCs w:val="32"/>
              </w:rPr>
            </w:pPr>
            <w:r w:rsidRPr="00A21181">
              <w:rPr>
                <w:rFonts w:ascii="Cambria" w:eastAsia="Cambria" w:hAnsi="Cambria" w:cs="Cambria"/>
                <w:color w:val="000000"/>
                <w:sz w:val="32"/>
                <w:szCs w:val="32"/>
              </w:rPr>
              <w:t>Dashboard 2</w:t>
            </w:r>
          </w:p>
        </w:tc>
      </w:tr>
    </w:tbl>
    <w:p w14:paraId="370710BF" w14:textId="77777777" w:rsidR="00451910" w:rsidRDefault="004E274E">
      <w:pPr>
        <w:keepNext/>
        <w:spacing w:before="240" w:after="120"/>
        <w:ind w:left="720"/>
        <w:rPr>
          <w:rFonts w:ascii="Cambria" w:eastAsia="Cambria" w:hAnsi="Cambria" w:cs="Cambria"/>
          <w:sz w:val="24"/>
          <w:szCs w:val="24"/>
        </w:rPr>
      </w:pPr>
      <w:r>
        <w:rPr>
          <w:rFonts w:ascii="Cambria" w:eastAsia="Cambria" w:hAnsi="Cambria" w:cs="Cambria"/>
          <w:b/>
          <w:bCs/>
          <w:color w:val="000000"/>
          <w:sz w:val="24"/>
          <w:szCs w:val="24"/>
        </w:rPr>
        <w:t>Conclusion</w:t>
      </w:r>
    </w:p>
    <w:p w14:paraId="251A41CF" w14:textId="77777777" w:rsidR="00451910" w:rsidRDefault="004E274E">
      <w:pPr>
        <w:ind w:left="720"/>
        <w:jc w:val="both"/>
        <w:rPr>
          <w:rFonts w:ascii="Cambria" w:eastAsia="Cambria" w:hAnsi="Cambria" w:cs="Cambria"/>
          <w:sz w:val="24"/>
          <w:szCs w:val="24"/>
        </w:rPr>
      </w:pPr>
      <w:r>
        <w:rPr>
          <w:rFonts w:ascii="Cambria" w:eastAsia="Cambria" w:hAnsi="Cambria" w:cs="Cambria"/>
          <w:color w:val="000000"/>
          <w:sz w:val="24"/>
          <w:szCs w:val="24"/>
        </w:rPr>
        <w:t xml:space="preserve">The ten visualisations show that student engagement is closely linked to performance in this online learning programme. Only about a third of students are highly engaged, yet they generate around three-quarters of all clicks and fail or withdraw about half as often as students overall. Prior education, not region, is the clearest divider in dropout and pass rates, and nearly half of all students are at High or Very High risk. Together, these findings point to early engagement </w:t>
      </w:r>
      <w:r>
        <w:rPr>
          <w:rFonts w:ascii="Cambria" w:eastAsia="Cambria" w:hAnsi="Cambria" w:cs="Cambria"/>
          <w:color w:val="000000"/>
          <w:sz w:val="24"/>
          <w:szCs w:val="24"/>
        </w:rPr>
        <w:lastRenderedPageBreak/>
        <w:t>monitoring and targeted support for learners with lower prior qualifications as the most effective ways to improve completion and success.</w:t>
      </w:r>
    </w:p>
    <w:p w14:paraId="7B5B748B" w14:textId="77777777" w:rsidR="00451910" w:rsidRDefault="00451910">
      <w:pPr>
        <w:spacing w:before="200"/>
        <w:rPr>
          <w:rFonts w:ascii="Cambria" w:eastAsia="Cambria" w:hAnsi="Cambria" w:cs="Cambria"/>
          <w:sz w:val="20"/>
          <w:szCs w:val="20"/>
        </w:rPr>
      </w:pPr>
    </w:p>
    <w:sectPr w:rsidR="00451910" w:rsidSect="00A21181">
      <w:pgSz w:w="11907" w:h="16839" w:code="9"/>
      <w:pgMar w:top="1440" w:right="1440" w:bottom="1440" w:left="1440" w:header="708" w:footer="708"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E24EA"/>
    <w:multiLevelType w:val="multilevel"/>
    <w:tmpl w:val="E05238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1F34FA"/>
    <w:multiLevelType w:val="multilevel"/>
    <w:tmpl w:val="1420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1128CB"/>
    <w:multiLevelType w:val="hybridMultilevel"/>
    <w:tmpl w:val="77FC6A4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202989512">
    <w:abstractNumId w:val="0"/>
  </w:num>
  <w:num w:numId="2" w16cid:durableId="198206695">
    <w:abstractNumId w:val="1"/>
  </w:num>
  <w:num w:numId="3" w16cid:durableId="3967793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5C572D"/>
    <w:rsid w:val="001C6F0B"/>
    <w:rsid w:val="00451910"/>
    <w:rsid w:val="004E274E"/>
    <w:rsid w:val="005C572D"/>
    <w:rsid w:val="00831BD2"/>
    <w:rsid w:val="00846084"/>
    <w:rsid w:val="00A01EE5"/>
    <w:rsid w:val="00A21181"/>
    <w:rsid w:val="00BB0734"/>
    <w:rsid w:val="00D043A9"/>
    <w:rsid w:val="00D3353A"/>
    <w:rsid w:val="00EE5EFB"/>
    <w:rsid w:val="00F02BDD"/>
    <w:rsid w:val="00F15253"/>
    <w:rsid w:val="00FA3BD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2199"/>
  <w15:docId w15:val="{2349B0B8-EDF3-403C-B42A-DC37365FB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8B3"/>
  </w:style>
  <w:style w:type="paragraph" w:styleId="Heading1">
    <w:name w:val="heading 1"/>
    <w:basedOn w:val="Normal"/>
    <w:next w:val="Normal"/>
    <w:uiPriority w:val="9"/>
    <w:qFormat/>
    <w:rsid w:val="00451910"/>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451910"/>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451910"/>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451910"/>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451910"/>
    <w:pPr>
      <w:keepNext/>
      <w:keepLines/>
      <w:spacing w:before="220" w:after="40"/>
      <w:outlineLvl w:val="4"/>
    </w:pPr>
    <w:rPr>
      <w:b/>
    </w:rPr>
  </w:style>
  <w:style w:type="paragraph" w:styleId="Heading6">
    <w:name w:val="heading 6"/>
    <w:basedOn w:val="Normal"/>
    <w:next w:val="Normal"/>
    <w:uiPriority w:val="9"/>
    <w:semiHidden/>
    <w:unhideWhenUsed/>
    <w:qFormat/>
    <w:rsid w:val="0045191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51910"/>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uiPriority w:val="11"/>
    <w:qFormat/>
    <w:rsid w:val="00451910"/>
    <w:pPr>
      <w:keepNext/>
      <w:keepLines/>
      <w:spacing w:before="360" w:after="80"/>
    </w:pPr>
    <w:rPr>
      <w:rFonts w:ascii="Georgia" w:eastAsia="Georgia" w:hAnsi="Georgia" w:cs="Georgia"/>
      <w:i/>
      <w:color w:val="666666"/>
      <w:sz w:val="48"/>
      <w:szCs w:val="48"/>
    </w:rPr>
  </w:style>
  <w:style w:type="table" w:customStyle="1" w:styleId="a">
    <w:basedOn w:val="TableNormal"/>
    <w:rsid w:val="00451910"/>
    <w:pPr>
      <w:spacing w:after="0" w:line="240" w:lineRule="auto"/>
    </w:pPr>
    <w:tblPr>
      <w:tblStyleRowBandSize w:val="1"/>
      <w:tblStyleColBandSize w:val="1"/>
    </w:tblPr>
  </w:style>
  <w:style w:type="paragraph" w:styleId="NormalWeb">
    <w:name w:val="Normal (Web)"/>
    <w:basedOn w:val="Normal"/>
    <w:uiPriority w:val="99"/>
    <w:semiHidden/>
    <w:unhideWhenUsed/>
    <w:rsid w:val="00F1525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15253"/>
    <w:rPr>
      <w:b/>
      <w:bCs/>
    </w:rPr>
  </w:style>
  <w:style w:type="character" w:styleId="Emphasis">
    <w:name w:val="Emphasis"/>
    <w:basedOn w:val="DefaultParagraphFont"/>
    <w:uiPriority w:val="20"/>
    <w:qFormat/>
    <w:rsid w:val="00F15253"/>
    <w:rPr>
      <w:i/>
      <w:iCs/>
    </w:rPr>
  </w:style>
  <w:style w:type="paragraph" w:styleId="ListParagraph">
    <w:name w:val="List Paragraph"/>
    <w:basedOn w:val="Normal"/>
    <w:uiPriority w:val="34"/>
    <w:qFormat/>
    <w:rsid w:val="00F15253"/>
    <w:pPr>
      <w:ind w:left="720"/>
      <w:contextualSpacing/>
    </w:pPr>
  </w:style>
  <w:style w:type="paragraph" w:styleId="BalloonText">
    <w:name w:val="Balloon Text"/>
    <w:basedOn w:val="Normal"/>
    <w:link w:val="BalloonTextChar"/>
    <w:uiPriority w:val="99"/>
    <w:semiHidden/>
    <w:unhideWhenUsed/>
    <w:rsid w:val="00A211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11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450403">
      <w:bodyDiv w:val="1"/>
      <w:marLeft w:val="0"/>
      <w:marRight w:val="0"/>
      <w:marTop w:val="0"/>
      <w:marBottom w:val="0"/>
      <w:divBdr>
        <w:top w:val="none" w:sz="0" w:space="0" w:color="auto"/>
        <w:left w:val="none" w:sz="0" w:space="0" w:color="auto"/>
        <w:bottom w:val="none" w:sz="0" w:space="0" w:color="auto"/>
        <w:right w:val="none" w:sz="0" w:space="0" w:color="auto"/>
      </w:divBdr>
    </w:div>
    <w:div w:id="558830225">
      <w:bodyDiv w:val="1"/>
      <w:marLeft w:val="0"/>
      <w:marRight w:val="0"/>
      <w:marTop w:val="0"/>
      <w:marBottom w:val="0"/>
      <w:divBdr>
        <w:top w:val="none" w:sz="0" w:space="0" w:color="auto"/>
        <w:left w:val="none" w:sz="0" w:space="0" w:color="auto"/>
        <w:bottom w:val="none" w:sz="0" w:space="0" w:color="auto"/>
        <w:right w:val="none" w:sz="0" w:space="0" w:color="auto"/>
      </w:divBdr>
    </w:div>
    <w:div w:id="7231436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8s8w6tIewL5Ib6nsyrc09pfBw==">CgMxLjA4AHIhMVhnbWs1eUxud3ljZkQ2blFXYlhzU0JQTEdvUXJhQXdl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13</Pages>
  <Words>1603</Words>
  <Characters>9140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Raja Ponduluru</cp:lastModifiedBy>
  <cp:revision>3</cp:revision>
  <dcterms:created xsi:type="dcterms:W3CDTF">2026-09-19T06:00:00Z</dcterms:created>
  <dcterms:modified xsi:type="dcterms:W3CDTF">2026-09-19T10:21:00Z</dcterms:modified>
</cp:coreProperties>
</file>