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pPr>
      <w:r>
        <w:rPr>
          <w:b/>
          <w:color w:val="1E3C72"/>
          <w:sz w:val="40"/>
        </w:rPr>
        <w:t>📂 CHAPTER 1: Brainstorming &amp; Ideation Phase</w:t>
      </w:r>
    </w:p>
    <w:p>
      <w:pPr>
        <w:keepNext/>
        <w:spacing w:before="280" w:after="80"/>
      </w:pPr>
      <w:r>
        <w:rPr>
          <w:b/>
          <w:color w:val="2A5298"/>
          <w:sz w:val="28"/>
        </w:rPr>
        <w:t>1.1 Project Title</w:t>
      </w:r>
    </w:p>
    <w:p>
      <w:r>
        <w:t>Smart Lender: AI-Powered Loan Qualification Prediction Engine</w:t>
      </w:r>
    </w:p>
    <w:p>
      <w:pPr>
        <w:keepNext/>
        <w:spacing w:before="280" w:after="80"/>
      </w:pPr>
      <w:r>
        <w:rPr>
          <w:b/>
          <w:color w:val="2A5298"/>
          <w:sz w:val="28"/>
        </w:rPr>
        <w:t>1.2 Comprehensive Project Description</w:t>
      </w:r>
    </w:p>
    <w:p>
      <w:r>
        <w:t>The Smart Lender application is an advanced machine learning microservice designed to evaluate consumer credit profiles and automate risk adjudication. Manual loan underwriting is historically inefficient, slow, and susceptible to cognitive bias. This solution mitigates those production hurdles by combining robust data analysis, statistical preprocessing frameworks, multi-model evaluation matrices, and production-grade cloud container delivery.</w:t>
      </w:r>
    </w:p>
    <w:p>
      <w:r>
        <w:t>The development architecture operates directly under an enterprise milestone-driven framework. The operational data flow initializes with structured ingestion routines, passes through comprehensive exploratory data visualization pipelines, subjects raw feature spaces to geometric variance scaling, executes training and validation iterations across high-performance ensemble models, and delivers real-time decision metrics via a responsive user configuration dashboard.</w:t>
      </w:r>
    </w:p>
    <w:p>
      <w:pPr>
        <w:keepNext/>
        <w:spacing w:before="280" w:after="80"/>
      </w:pPr>
      <w:r>
        <w:rPr>
          <w:b/>
          <w:color w:val="2A5298"/>
          <w:sz w:val="28"/>
        </w:rPr>
        <w:t>1.3 Strategic Identification of Operational Challenges</w:t>
      </w:r>
    </w:p>
    <w:p>
      <w:pPr>
        <w:pStyle w:val="ListBullet"/>
      </w:pPr>
      <w:r>
        <w:t>• Underwriting Latency: Transitioning institutional risk assessment from asynchronous manual validation loops into instant predictive outcomes.</w:t>
      </w:r>
    </w:p>
    <w:p>
      <w:pPr>
        <w:pStyle w:val="ListBullet"/>
      </w:pPr>
      <w:r>
        <w:t>• Lack of Predictive Transparency: Exposing multi-model confidence scores to end-users instead of basic black-box approval indicators.</w:t>
      </w:r>
    </w:p>
    <w:p>
      <w:pPr>
        <w:pStyle w:val="ListBullet"/>
      </w:pPr>
      <w:r>
        <w:t>• Schema Integrity Risks: Ensuring complete data persistence alignment across decoupled entity profile structures, transactional limits, and resulting prediction tokens.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SMARTBRIDGE LIFE-CYCLE ARTIFACT   |   SKILLWALLET PROJECT RUNTIME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i/>
      <w:color w:val="777777"/>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