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pPr>
      <w:r>
        <w:rPr>
          <w:b/>
          <w:color w:val="1E3C72"/>
          <w:sz w:val="40"/>
        </w:rPr>
        <w:t>📂 CHAPTER 7: Project Conclusion</w:t>
      </w:r>
    </w:p>
    <w:p>
      <w:pPr>
        <w:keepNext/>
        <w:spacing w:before="280" w:after="80"/>
      </w:pPr>
      <w:r>
        <w:rPr>
          <w:b/>
          <w:color w:val="2A5298"/>
          <w:sz w:val="28"/>
        </w:rPr>
        <w:t>7.1 Comprehensive Project Summary</w:t>
      </w:r>
    </w:p>
    <w:p>
      <w:r>
        <w:t>The complete implementation of the Smart Lender application meets all milestone requirements defined in the development roadmap. By building data preprocessing, multi-model selection arrays, and database mapping entities directly within an asynchronous Flask backend, the application translates raw consumer financial data profiles into fast, structured credit assessments. Packaging the application within an optimized container configuration ensures the system can be deployed instantly to serverless runtimes—such as Hugging Face Spaces—without encountering dependency errors.</w:t>
      </w:r>
    </w:p>
    <w:p>
      <w:pPr>
        <w:keepNext/>
        <w:spacing w:before="280" w:after="80"/>
      </w:pPr>
      <w:r>
        <w:rPr>
          <w:b/>
          <w:color w:val="2A5298"/>
          <w:sz w:val="28"/>
        </w:rPr>
        <w:t>7.2 Future Strategic Horizons</w:t>
      </w:r>
    </w:p>
    <w:p>
      <w:pPr>
        <w:pStyle w:val="ListBullet"/>
      </w:pPr>
      <w:r>
        <w:t>• Persistent Object Relational Mapping (ORM): Migrating from localized simulation memory states into true cloud infrastructure layers using SQLAlchemy linked to managed PostgreSQL database clusters.</w:t>
      </w:r>
    </w:p>
    <w:p>
      <w:pPr>
        <w:pStyle w:val="ListBullet"/>
      </w:pPr>
      <w:r>
        <w:t>• Algorithmic Explainability Matrix (XAI): Deploying specialized parsing layers (such as SHAP or LIME frameworks) within the validation logs view.</w:t>
      </w:r>
    </w:p>
    <w:p>
      <w:pPr>
        <w:pStyle w:val="ListBullet"/>
      </w:pPr>
      <w:r>
        <w:t>• Continuous Integration Pipelines: Automating model tracking loops to retrain the underlying models on fresh evaluation inputs.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SMARTBRIDGE LIFE-CYCLE ARTIFACT   |   SKILLWALLET PROJECT RUNTIME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i/>
      <w:color w:val="777777"/>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