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</w:pPr>
      <w:r>
        <w:rPr>
          <w:b/>
          <w:color w:val="1E3C72"/>
          <w:sz w:val="40"/>
        </w:rPr>
        <w:t>📂 CHAPTER 4: Project Design Phase</w:t>
      </w:r>
    </w:p>
    <w:p>
      <w:pPr>
        <w:keepNext/>
        <w:spacing w:before="280" w:after="80"/>
      </w:pPr>
      <w:r>
        <w:rPr>
          <w:b/>
          <w:color w:val="2A5298"/>
          <w:sz w:val="28"/>
        </w:rPr>
        <w:t>4.1 System Topology Pipeline Diagram</w:t>
      </w:r>
    </w:p>
    <w:p>
      <w:r>
        <w:t>[User Interface] -&gt; [Flask Core Controller] -&gt; [Pre-Processing Logic] -&gt; [Model Stack ML Inference] -&gt; [Relational Sink Payload Output]</w:t>
      </w:r>
    </w:p>
    <w:p>
      <w:pPr>
        <w:keepNext/>
        <w:spacing w:before="280" w:after="80"/>
      </w:pPr>
      <w:r>
        <w:rPr>
          <w:b/>
          <w:color w:val="2A5298"/>
          <w:sz w:val="28"/>
        </w:rPr>
        <w:t>4.2 Database Schema Integrity Mapping</w:t>
      </w:r>
    </w:p>
    <w:p>
      <w:pPr>
        <w:pStyle w:val="ListBullet"/>
      </w:pPr>
      <w:r>
        <w:t>• USER: Identity structures holding unique user codes, login contexts, and timestamps.</w:t>
      </w:r>
    </w:p>
    <w:p>
      <w:pPr>
        <w:pStyle w:val="ListBullet"/>
      </w:pPr>
      <w:r>
        <w:t>• APPLICANT_PROFILE: Socio-demographic properties including gender matrices, marital status, dependent indexes, and geographic property area types.</w:t>
      </w:r>
    </w:p>
    <w:p>
      <w:pPr>
        <w:pStyle w:val="ListBullet"/>
      </w:pPr>
      <w:r>
        <w:t>• CREDIT_HISTORY: Historical scoring tracks evaluating risk thresholds.</w:t>
      </w:r>
    </w:p>
    <w:p>
      <w:pPr>
        <w:pStyle w:val="ListBullet"/>
      </w:pPr>
      <w:r>
        <w:t>• LOAN_APPLICATION: Monetary tracking elements detailing applicant base income, secondary coapplicant revenue, total loan values, and targeted repayment frequencies.</w:t>
      </w:r>
    </w:p>
    <w:p>
      <w:pPr>
        <w:pStyle w:val="ListBullet"/>
      </w:pPr>
      <w:r>
        <w:t>• PREDICTION_RESULT: The runtime analytical sink compiling the specific prediction tracking metrics generated live by the web container backend.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SMARTBRIDGE LIFE-CYCLE ARTIFACT   |   SKILLWALLET PROJECT RUNTIME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i/>
      <w:color w:val="777777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