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</w:pPr>
      <w:r>
        <w:rPr>
          <w:b/>
          <w:color w:val="1E3C72"/>
          <w:sz w:val="40"/>
        </w:rPr>
        <w:t>📂 CHAPTER 6: Project Testing</w:t>
      </w:r>
    </w:p>
    <w:p>
      <w:pPr>
        <w:keepNext/>
        <w:spacing w:before="280" w:after="80"/>
      </w:pPr>
      <w:r>
        <w:rPr>
          <w:b/>
          <w:color w:val="2A5298"/>
          <w:sz w:val="28"/>
        </w:rPr>
        <w:t>6.1 Multi-Scenario Validation 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E3C72"/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1872"/>
            <w:shd w:val="clear" w:color="auto" w:fill="1E3C72"/>
          </w:tcPr>
          <w:p>
            <w:r>
              <w:rPr>
                <w:b/>
                <w:color w:val="FFFFFF"/>
              </w:rPr>
              <w:t>Targeted Feature Target</w:t>
            </w:r>
          </w:p>
        </w:tc>
        <w:tc>
          <w:tcPr>
            <w:tcW w:type="dxa" w:w="1872"/>
            <w:shd w:val="clear" w:color="auto" w:fill="1E3C72"/>
          </w:tcPr>
          <w:p>
            <w:r>
              <w:rPr>
                <w:b/>
                <w:color w:val="FFFFFF"/>
              </w:rPr>
              <w:t>Test Scenario Vector Payload</w:t>
            </w:r>
          </w:p>
        </w:tc>
        <w:tc>
          <w:tcPr>
            <w:tcW w:type="dxa" w:w="1872"/>
            <w:shd w:val="clear" w:color="auto" w:fill="1E3C72"/>
          </w:tcPr>
          <w:p>
            <w:r>
              <w:rPr>
                <w:b/>
                <w:color w:val="FFFFFF"/>
              </w:rPr>
              <w:t>Target Output Expectation</w:t>
            </w:r>
          </w:p>
        </w:tc>
        <w:tc>
          <w:tcPr>
            <w:tcW w:type="dxa" w:w="1872"/>
            <w:shd w:val="clear" w:color="auto" w:fill="1E3C72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TS-001</w:t>
            </w:r>
          </w:p>
        </w:tc>
        <w:tc>
          <w:tcPr>
            <w:tcW w:type="dxa" w:w="1872"/>
          </w:tcPr>
          <w:p>
            <w:r>
              <w:t>Risk Rejection Edge</w:t>
            </w:r>
          </w:p>
        </w:tc>
        <w:tc>
          <w:tcPr>
            <w:tcW w:type="dxa" w:w="1872"/>
          </w:tcPr>
          <w:p>
            <w:r>
              <w:t>Credit: 0, Income: 1500, Loan: 400</w:t>
            </w:r>
          </w:p>
        </w:tc>
        <w:tc>
          <w:tcPr>
            <w:tcW w:type="dxa" w:w="1872"/>
          </w:tcPr>
          <w:p>
            <w:r>
              <w:t>Status: Rejected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  <w:shd w:val="clear" w:color="auto" w:fill="F4F6F9"/>
          </w:tcPr>
          <w:p>
            <w:r>
              <w:t>TS-002</w:t>
            </w:r>
          </w:p>
        </w:tc>
        <w:tc>
          <w:tcPr>
            <w:tcW w:type="dxa" w:w="1872"/>
            <w:shd w:val="clear" w:color="auto" w:fill="F4F6F9"/>
          </w:tcPr>
          <w:p>
            <w:r>
              <w:t>Optimal Qualification</w:t>
            </w:r>
          </w:p>
        </w:tc>
        <w:tc>
          <w:tcPr>
            <w:tcW w:type="dxa" w:w="1872"/>
            <w:shd w:val="clear" w:color="auto" w:fill="F4F6F9"/>
          </w:tcPr>
          <w:p>
            <w:r>
              <w:t>Credit: 1, Income: 8500, Loan: 100</w:t>
            </w:r>
          </w:p>
        </w:tc>
        <w:tc>
          <w:tcPr>
            <w:tcW w:type="dxa" w:w="1872"/>
            <w:shd w:val="clear" w:color="auto" w:fill="F4F6F9"/>
          </w:tcPr>
          <w:p>
            <w:r>
              <w:t>Status: Approved</w:t>
            </w:r>
          </w:p>
        </w:tc>
        <w:tc>
          <w:tcPr>
            <w:tcW w:type="dxa" w:w="1872"/>
            <w:shd w:val="clear" w:color="auto" w:fill="F4F6F9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TS-003</w:t>
            </w:r>
          </w:p>
        </w:tc>
        <w:tc>
          <w:tcPr>
            <w:tcW w:type="dxa" w:w="1872"/>
          </w:tcPr>
          <w:p>
            <w:r>
              <w:t>Text Ingestion Resilience</w:t>
            </w:r>
          </w:p>
        </w:tc>
        <w:tc>
          <w:tcPr>
            <w:tcW w:type="dxa" w:w="1872"/>
          </w:tcPr>
          <w:p>
            <w:r>
              <w:t>Income Parameter passed text strings</w:t>
            </w:r>
          </w:p>
        </w:tc>
        <w:tc>
          <w:tcPr>
            <w:tcW w:type="dxa" w:w="1872"/>
          </w:tcPr>
          <w:p>
            <w:r>
              <w:t>Graceful Exception Trapping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  <w:shd w:val="clear" w:color="auto" w:fill="F4F6F9"/>
          </w:tcPr>
          <w:p>
            <w:r>
              <w:t>TS-004</w:t>
            </w:r>
          </w:p>
        </w:tc>
        <w:tc>
          <w:tcPr>
            <w:tcW w:type="dxa" w:w="1872"/>
            <w:shd w:val="clear" w:color="auto" w:fill="F4F6F9"/>
          </w:tcPr>
          <w:p>
            <w:r>
              <w:t>Dynamic Switching Loop</w:t>
            </w:r>
          </w:p>
        </w:tc>
        <w:tc>
          <w:tcPr>
            <w:tcW w:type="dxa" w:w="1872"/>
            <w:shd w:val="clear" w:color="auto" w:fill="F4F6F9"/>
          </w:tcPr>
          <w:p>
            <w:r>
              <w:t>Toggle Selector from KNN to XGBoost</w:t>
            </w:r>
          </w:p>
        </w:tc>
        <w:tc>
          <w:tcPr>
            <w:tcW w:type="dxa" w:w="1872"/>
            <w:shd w:val="clear" w:color="auto" w:fill="F4F6F9"/>
          </w:tcPr>
          <w:p>
            <w:r>
              <w:t>Active Adjustment of Multipliers</w:t>
            </w:r>
          </w:p>
        </w:tc>
        <w:tc>
          <w:tcPr>
            <w:tcW w:type="dxa" w:w="1872"/>
            <w:shd w:val="clear" w:color="auto" w:fill="F4F6F9"/>
          </w:tcPr>
          <w:p>
            <w:r>
              <w:t>PASS</w:t>
            </w:r>
          </w:p>
        </w:tc>
      </w:tr>
    </w:tbl>
    <w:p>
      <w:pPr>
        <w:keepNext/>
        <w:spacing w:before="280" w:after="80"/>
      </w:pPr>
      <w:r>
        <w:rPr>
          <w:b/>
          <w:color w:val="2A5298"/>
          <w:sz w:val="28"/>
        </w:rPr>
        <w:t>6.2 Pre-Processing Edge-Case Mitigation</w:t>
      </w:r>
    </w:p>
    <w:p>
      <w:r>
        <w:t>• Input Coercion Security: When strings are supplied into mathematical numeric form attributes, the internal controller defaults seamlessly to a localized catch statement, assigning worst-case evaluation values instead of stopping the runtime engine thread.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SMARTBRIDGE LIFE-CYCLE ARTIFACT   |   SKILLWALLET PROJECT RUNTIME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/>
      <w:color w:val="777777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