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</w:pPr>
      <w:r>
        <w:rPr>
          <w:b/>
          <w:color w:val="1E3C72"/>
          <w:sz w:val="40"/>
        </w:rPr>
        <w:t>📂 CHAPTER 2: Requirement Analysis Specification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2.1 Functional System Requirements</w:t>
      </w:r>
    </w:p>
    <w:p>
      <w:pPr>
        <w:pStyle w:val="ListBullet"/>
      </w:pPr>
      <w:r>
        <w:t>• Applicant Context Ingestion: The runtime core must consume multidimensional profile arrays safely mapping to structural fields including gender, marital status, education level, dependency indexes, and property area coordinates.</w:t>
      </w:r>
    </w:p>
    <w:p>
      <w:pPr>
        <w:pStyle w:val="ListBullet"/>
      </w:pPr>
      <w:r>
        <w:t>• Financial Transaction Tracking: The engine must process high-variance numeric attributes including primary applicant base income, coapplicant revenue parameters, exact requested loan volumes, and temporal repayment cycles.</w:t>
      </w:r>
    </w:p>
    <w:p>
      <w:pPr>
        <w:pStyle w:val="ListBullet"/>
      </w:pPr>
      <w:r>
        <w:t>• Algorithmic Selection Matrix: The controller layer must allow real-time selection switching across a pipeline composed of Decision Tree, Random Forest, KNN, and XGBoost.</w:t>
      </w:r>
    </w:p>
    <w:p>
      <w:pPr>
        <w:pStyle w:val="ListBullet"/>
      </w:pPr>
      <w:r>
        <w:t>• Analytical Ingestion Sink: The backend must output clear prediction results consisting of a binary status state (Approved / Rejected) backed by an exact continuous probability_score variable.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2.2 Non-Functional System Capabilities</w:t>
      </w:r>
    </w:p>
    <w:p>
      <w:pPr>
        <w:pStyle w:val="ListBullet"/>
      </w:pPr>
      <w:r>
        <w:t>• Environmental Portability: The core code boundary must remain perfectly host-agnostic, running reliably inside isolated, lightweight Docker containers.</w:t>
      </w:r>
    </w:p>
    <w:p>
      <w:pPr>
        <w:pStyle w:val="ListBullet"/>
      </w:pPr>
      <w:r>
        <w:t>• Sub-Second Performance Limits: Computational inference evaluation times must execute in under 100 milliseconds under high concurrent transaction simulation.</w:t>
      </w:r>
    </w:p>
    <w:p>
      <w:pPr>
        <w:pStyle w:val="ListBullet"/>
      </w:pPr>
      <w:r>
        <w:t>• Responsive Layout Standards: The client presentation interface must adapt seamlessly to varying viewport sizes across mobile devices and desktop workstations.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SMARTBRIDGE LIFE-CYCLE ARTIFACT   |   SKILLWALLET PROJECT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777777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