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09C4EF8E" w14:textId="77777777" w:rsidR="00E370AF" w:rsidRDefault="00000000">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40B9B" w14:paraId="6C9A7D19" w14:textId="77777777">
        <w:tc>
          <w:tcPr>
            <w:tcW w:w="4508" w:type="dxa"/>
          </w:tcPr>
          <w:p w14:paraId="652051F0" w14:textId="77777777" w:rsidR="00F40B9B" w:rsidRDefault="00F40B9B" w:rsidP="00F40B9B">
            <w:r>
              <w:t>Date</w:t>
            </w:r>
          </w:p>
        </w:tc>
        <w:tc>
          <w:tcPr>
            <w:tcW w:w="4508" w:type="dxa"/>
          </w:tcPr>
          <w:p w14:paraId="23F44226" w14:textId="1AE13AC0" w:rsidR="00F40B9B" w:rsidRDefault="00F40B9B" w:rsidP="00F40B9B">
            <w:r>
              <w:t>28 June 2025</w:t>
            </w:r>
          </w:p>
        </w:tc>
      </w:tr>
      <w:tr w:rsidR="00F40B9B" w14:paraId="189E08C9" w14:textId="77777777">
        <w:tc>
          <w:tcPr>
            <w:tcW w:w="4508" w:type="dxa"/>
          </w:tcPr>
          <w:p w14:paraId="7DBE2B5A" w14:textId="77777777" w:rsidR="00F40B9B" w:rsidRDefault="00F40B9B" w:rsidP="00F40B9B">
            <w:r>
              <w:t>Team ID</w:t>
            </w:r>
          </w:p>
        </w:tc>
        <w:tc>
          <w:tcPr>
            <w:tcW w:w="4508" w:type="dxa"/>
          </w:tcPr>
          <w:p w14:paraId="039224E5" w14:textId="4D9789A7" w:rsidR="00F40B9B" w:rsidRDefault="00F40B9B" w:rsidP="00F40B9B">
            <w:r w:rsidRPr="000E12E2">
              <w:t>LTVIP2025TMID49827</w:t>
            </w:r>
          </w:p>
        </w:tc>
      </w:tr>
      <w:tr w:rsidR="00F40B9B" w14:paraId="7247E3F4" w14:textId="77777777">
        <w:tc>
          <w:tcPr>
            <w:tcW w:w="4508" w:type="dxa"/>
          </w:tcPr>
          <w:p w14:paraId="01C3C537" w14:textId="77777777" w:rsidR="00F40B9B" w:rsidRDefault="00F40B9B" w:rsidP="00F40B9B">
            <w:r>
              <w:t>Project Name</w:t>
            </w:r>
          </w:p>
        </w:tc>
        <w:tc>
          <w:tcPr>
            <w:tcW w:w="4508" w:type="dxa"/>
          </w:tcPr>
          <w:p w14:paraId="4E717950" w14:textId="4988A475" w:rsidR="00F40B9B" w:rsidRDefault="00F40B9B" w:rsidP="00F40B9B">
            <w:r>
              <w:t>Heritage Treasures: An In-Depth Analysis of UNESCO World Heritage Sites in Tableau</w:t>
            </w:r>
          </w:p>
        </w:tc>
      </w:tr>
      <w:tr w:rsidR="00E370AF" w14:paraId="6D6CFC5F" w14:textId="77777777">
        <w:tc>
          <w:tcPr>
            <w:tcW w:w="4508" w:type="dxa"/>
          </w:tcPr>
          <w:p w14:paraId="4B00FC14" w14:textId="77777777" w:rsidR="00E370AF" w:rsidRDefault="00000000">
            <w:r>
              <w:t>Maximum Marks</w:t>
            </w:r>
          </w:p>
        </w:tc>
        <w:tc>
          <w:tcPr>
            <w:tcW w:w="4508" w:type="dxa"/>
          </w:tcPr>
          <w:p w14:paraId="7FD36F97" w14:textId="24AA781A" w:rsidR="00E370AF" w:rsidRDefault="00267921">
            <w:pPr>
              <w:rPr>
                <w:sz w:val="24"/>
                <w:szCs w:val="24"/>
              </w:rPr>
            </w:pPr>
            <w:r>
              <w:rPr>
                <w:sz w:val="24"/>
                <w:szCs w:val="24"/>
              </w:rPr>
              <w:t>4 Marks</w:t>
            </w:r>
          </w:p>
        </w:tc>
      </w:tr>
    </w:tbl>
    <w:p w14:paraId="091AC6EB" w14:textId="77777777" w:rsidR="00E370AF" w:rsidRDefault="00E370AF">
      <w:pPr>
        <w:rPr>
          <w:b/>
        </w:rPr>
      </w:pPr>
    </w:p>
    <w:p w14:paraId="634DE954" w14:textId="77777777" w:rsidR="00E370AF" w:rsidRDefault="00000000">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3EFD320D" w14:textId="232B99AF" w:rsidR="00E370AF" w:rsidRPr="00F40B9B" w:rsidRDefault="00F40B9B" w:rsidP="00F40B9B">
      <w:pPr>
        <w:shd w:val="clear" w:color="auto" w:fill="FFFFFF"/>
        <w:spacing w:after="375" w:line="240" w:lineRule="auto"/>
        <w:jc w:val="both"/>
        <w:rPr>
          <w:rFonts w:ascii="Arial" w:eastAsia="Arial" w:hAnsi="Arial" w:cs="Arial"/>
          <w:color w:val="000000"/>
          <w:sz w:val="20"/>
          <w:szCs w:val="20"/>
        </w:rPr>
      </w:pPr>
      <w:r w:rsidRPr="00F40B9B">
        <w:rPr>
          <w:rFonts w:ascii="Arial" w:eastAsia="Arial" w:hAnsi="Arial" w:cs="Arial"/>
          <w:color w:val="000000"/>
          <w:sz w:val="20"/>
          <w:szCs w:val="20"/>
        </w:rPr>
        <w:t xml:space="preserve">The solution architecture of </w:t>
      </w:r>
      <w:r w:rsidRPr="00F40B9B">
        <w:rPr>
          <w:rFonts w:ascii="Arial" w:eastAsia="Arial" w:hAnsi="Arial" w:cs="Arial"/>
          <w:i/>
          <w:iCs/>
          <w:color w:val="000000"/>
          <w:sz w:val="20"/>
          <w:szCs w:val="20"/>
        </w:rPr>
        <w:t>"Heritage Treasures: An In-Depth Analysis of UNESCO World Heritage Sites in Tableau"</w:t>
      </w:r>
      <w:r w:rsidRPr="00F40B9B">
        <w:rPr>
          <w:rFonts w:ascii="Arial" w:eastAsia="Arial" w:hAnsi="Arial" w:cs="Arial"/>
          <w:color w:val="000000"/>
          <w:sz w:val="20"/>
          <w:szCs w:val="20"/>
        </w:rPr>
        <w:t xml:space="preserve"> involves a streamlined data analytics workflow. The raw UNESCO heritage dataset is first collected and cleaned using Excel or Python for accuracy and consistency. This refined data is then imported into Tableau, where interactive dashboards are built. These dashboards visualize key insights such as regional site distribution, heritage classifications (cultural/natural), endangered sites, and time-based trends, enabling users to explore and interpret global heritage patterns efficiently</w:t>
      </w:r>
      <w:r w:rsidR="00000000" w:rsidRPr="00F40B9B">
        <w:rPr>
          <w:rFonts w:ascii="Arial" w:eastAsia="Arial" w:hAnsi="Arial" w:cs="Arial"/>
          <w:color w:val="000000"/>
          <w:sz w:val="20"/>
          <w:szCs w:val="20"/>
        </w:rPr>
        <w:t>. Its goals are to:</w:t>
      </w:r>
    </w:p>
    <w:p w14:paraId="40BA2519" w14:textId="73ECE556" w:rsidR="00F40B9B" w:rsidRPr="00F40B9B" w:rsidRDefault="00F40B9B" w:rsidP="00F40B9B">
      <w:pPr>
        <w:pStyle w:val="ListParagraph"/>
        <w:numPr>
          <w:ilvl w:val="0"/>
          <w:numId w:val="4"/>
        </w:numPr>
      </w:pPr>
      <w:r w:rsidRPr="00F40B9B">
        <w:t>To visualize the global distribution of UNESCO World Heritage Sites by region, type, and country.</w:t>
      </w:r>
    </w:p>
    <w:p w14:paraId="402E0F51" w14:textId="5FB7A49F" w:rsidR="00F40B9B" w:rsidRPr="00F40B9B" w:rsidRDefault="00F40B9B" w:rsidP="00F40B9B">
      <w:pPr>
        <w:pStyle w:val="ListParagraph"/>
        <w:numPr>
          <w:ilvl w:val="0"/>
          <w:numId w:val="4"/>
        </w:numPr>
      </w:pPr>
      <w:r w:rsidRPr="00F40B9B">
        <w:t xml:space="preserve">To identify and highlight endangered heritage sites and </w:t>
      </w:r>
      <w:proofErr w:type="spellStart"/>
      <w:r w:rsidRPr="00F40B9B">
        <w:t>analyze</w:t>
      </w:r>
      <w:proofErr w:type="spellEnd"/>
      <w:r w:rsidRPr="00F40B9B">
        <w:t xml:space="preserve"> the threats they face.</w:t>
      </w:r>
    </w:p>
    <w:p w14:paraId="420E6B18" w14:textId="570C334B" w:rsidR="00F40B9B" w:rsidRPr="00F40B9B" w:rsidRDefault="00F40B9B" w:rsidP="00F40B9B">
      <w:pPr>
        <w:pStyle w:val="ListParagraph"/>
        <w:numPr>
          <w:ilvl w:val="0"/>
          <w:numId w:val="4"/>
        </w:numPr>
      </w:pPr>
      <w:r w:rsidRPr="00F40B9B">
        <w:t>To explore trends over time, including the yearly addition of heritage sites.</w:t>
      </w:r>
    </w:p>
    <w:p w14:paraId="3E2F5B4D" w14:textId="5165FD9C" w:rsidR="00F40B9B" w:rsidRPr="00F40B9B" w:rsidRDefault="00F40B9B" w:rsidP="00F40B9B">
      <w:pPr>
        <w:pStyle w:val="ListParagraph"/>
        <w:numPr>
          <w:ilvl w:val="0"/>
          <w:numId w:val="4"/>
        </w:numPr>
      </w:pPr>
      <w:r w:rsidRPr="00F40B9B">
        <w:t>To raise awareness about the cultural and natural significance of heritage locations.</w:t>
      </w:r>
    </w:p>
    <w:p w14:paraId="39CE5BCF" w14:textId="72093AEC" w:rsidR="00F40B9B" w:rsidRPr="00F40B9B" w:rsidRDefault="00F40B9B" w:rsidP="00F40B9B">
      <w:pPr>
        <w:pStyle w:val="ListParagraph"/>
        <w:numPr>
          <w:ilvl w:val="0"/>
          <w:numId w:val="4"/>
        </w:numPr>
      </w:pPr>
      <w:r w:rsidRPr="00F40B9B">
        <w:t>To create an interactive dashboard that supports user-driven exploration and storytelling.</w:t>
      </w:r>
    </w:p>
    <w:p w14:paraId="792FA76A" w14:textId="77777777" w:rsidR="00E370AF" w:rsidRDefault="00E370AF">
      <w:pPr>
        <w:rPr>
          <w:b/>
        </w:rPr>
      </w:pPr>
    </w:p>
    <w:p w14:paraId="3436894A" w14:textId="77777777" w:rsidR="00E370AF" w:rsidRDefault="00000000">
      <w:pPr>
        <w:rPr>
          <w:b/>
        </w:rPr>
      </w:pPr>
      <w:r>
        <w:rPr>
          <w:rFonts w:ascii="Arial" w:eastAsia="Arial" w:hAnsi="Arial" w:cs="Arial"/>
          <w:b/>
          <w:color w:val="000000"/>
          <w:sz w:val="24"/>
          <w:szCs w:val="24"/>
        </w:rPr>
        <w:t>Example - Solution Architecture Diagram</w:t>
      </w:r>
      <w:r>
        <w:rPr>
          <w:b/>
        </w:rPr>
        <w:t xml:space="preserve">: </w:t>
      </w:r>
    </w:p>
    <w:p w14:paraId="2B3DB86C" w14:textId="77777777" w:rsidR="00E370AF" w:rsidRDefault="00E370AF">
      <w:pPr>
        <w:rPr>
          <w:b/>
        </w:rPr>
      </w:pPr>
    </w:p>
    <w:p w14:paraId="79D8C738" w14:textId="77777777" w:rsidR="00E370AF" w:rsidRDefault="00000000">
      <w:pPr>
        <w:tabs>
          <w:tab w:val="left" w:pos="5529"/>
        </w:tabs>
        <w:rPr>
          <w:b/>
        </w:rPr>
      </w:pPr>
      <w:r>
        <w:rPr>
          <w:noProof/>
        </w:rPr>
        <w:drawing>
          <wp:inline distT="0" distB="0" distL="0" distR="0" wp14:anchorId="2FD46D14" wp14:editId="03695530">
            <wp:extent cx="5731510" cy="2564765"/>
            <wp:effectExtent l="0" t="0" r="0" b="0"/>
            <wp:docPr id="3" name="image1.jpg" descr="Voice applications in clinical research powered by AI on AWS – Part 1:  Architecture and design considerations | AWS for Industries"/>
            <wp:cNvGraphicFramePr/>
            <a:graphic xmlns:a="http://schemas.openxmlformats.org/drawingml/2006/main">
              <a:graphicData uri="http://schemas.openxmlformats.org/drawingml/2006/picture">
                <pic:pic xmlns:pic="http://schemas.openxmlformats.org/drawingml/2006/picture">
                  <pic:nvPicPr>
                    <pic:cNvPr id="0" name="image1.jpg" descr="Voice applications in clinical research powered by AI on AWS – Part 1:  Architecture and design considerations | AWS for Industries"/>
                    <pic:cNvPicPr preferRelativeResize="0"/>
                  </pic:nvPicPr>
                  <pic:blipFill>
                    <a:blip r:embed="rId6"/>
                    <a:srcRect/>
                    <a:stretch>
                      <a:fillRect/>
                    </a:stretch>
                  </pic:blipFill>
                  <pic:spPr>
                    <a:xfrm>
                      <a:off x="0" y="0"/>
                      <a:ext cx="5731510" cy="2564765"/>
                    </a:xfrm>
                    <a:prstGeom prst="rect">
                      <a:avLst/>
                    </a:prstGeom>
                    <a:ln/>
                  </pic:spPr>
                </pic:pic>
              </a:graphicData>
            </a:graphic>
          </wp:inline>
        </w:drawing>
      </w:r>
    </w:p>
    <w:p w14:paraId="0C5FB432" w14:textId="77777777" w:rsidR="00E370AF" w:rsidRDefault="00000000">
      <w:pPr>
        <w:rPr>
          <w:b/>
        </w:rPr>
      </w:pPr>
      <w:r>
        <w:rPr>
          <w:rFonts w:ascii="Helvetica Neue" w:eastAsia="Helvetica Neue" w:hAnsi="Helvetica Neue" w:cs="Helvetica Neue"/>
          <w:i/>
          <w:color w:val="333333"/>
          <w:sz w:val="21"/>
          <w:szCs w:val="21"/>
        </w:rPr>
        <w:t>Figure 1: Architecture and data flow of the voice patient diary sample application</w:t>
      </w:r>
    </w:p>
    <w:p w14:paraId="1C1442E4" w14:textId="3904B6A7" w:rsidR="00E370AF" w:rsidRDefault="00000000">
      <w:pPr>
        <w:rPr>
          <w:b/>
        </w:rPr>
      </w:pPr>
      <w:r>
        <w:rPr>
          <w:b/>
        </w:rPr>
        <w:t xml:space="preserve">Reference: </w:t>
      </w:r>
      <w:hyperlink r:id="rId7">
        <w:r w:rsidR="00E370AF">
          <w:rPr>
            <w:b/>
            <w:color w:val="0563C1"/>
            <w:u w:val="single"/>
          </w:rPr>
          <w:t>https://aws.amazon.com/blogs/industries/voice-applications-in-clinical-research-powered-by-ai-on-aws-part-1-architecture-and-design-considerations/</w:t>
        </w:r>
      </w:hyperlink>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003ADC32-491A-483C-84BA-0AD2B97569E5}"/>
    <w:embedBold r:id="rId2" w:fontKey="{0E254179-46AF-4577-BE4A-0DA1C1F7FDE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3" w:fontKey="{AB040434-8F94-48C6-981C-375128D75408}"/>
  </w:font>
  <w:font w:name="Georgia">
    <w:panose1 w:val="02040502050405020303"/>
    <w:charset w:val="00"/>
    <w:family w:val="roman"/>
    <w:pitch w:val="variable"/>
    <w:sig w:usb0="00000287" w:usb1="00000000" w:usb2="00000000" w:usb3="00000000" w:csb0="0000009F" w:csb1="00000000"/>
    <w:embedRegular r:id="rId4" w:fontKey="{DF75F0DA-991C-4654-BACA-323DDCBB769C}"/>
    <w:embedItalic r:id="rId5" w:fontKey="{D096820B-5A83-49A9-BB19-3147F16F7C8D}"/>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6" w:fontKey="{754FC34C-BAED-44D4-9EBD-4D725D047BA2}"/>
    <w:embedItalic r:id="rId7" w:fontKey="{A8C69DB2-D813-4375-B25C-A0486AD61D4F}"/>
  </w:font>
  <w:font w:name="Calibri Light">
    <w:panose1 w:val="020F0302020204030204"/>
    <w:charset w:val="00"/>
    <w:family w:val="swiss"/>
    <w:pitch w:val="variable"/>
    <w:sig w:usb0="E4002EFF" w:usb1="C200247B" w:usb2="00000009" w:usb3="00000000" w:csb0="000001FF" w:csb1="00000000"/>
    <w:embedRegular r:id="rId8" w:fontKey="{7D983AD1-B458-4D6F-8D3E-4C28B51BCE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D0FD1"/>
    <w:multiLevelType w:val="hybridMultilevel"/>
    <w:tmpl w:val="871A7986"/>
    <w:lvl w:ilvl="0" w:tplc="FBA20E44">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BD144C8"/>
    <w:multiLevelType w:val="hybridMultilevel"/>
    <w:tmpl w:val="E708B78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BF25160"/>
    <w:multiLevelType w:val="hybridMultilevel"/>
    <w:tmpl w:val="178CA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3013408">
    <w:abstractNumId w:val="1"/>
  </w:num>
  <w:num w:numId="2" w16cid:durableId="1865971568">
    <w:abstractNumId w:val="3"/>
  </w:num>
  <w:num w:numId="3" w16cid:durableId="1451558107">
    <w:abstractNumId w:val="0"/>
  </w:num>
  <w:num w:numId="4" w16cid:durableId="1704936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0B3353"/>
    <w:rsid w:val="00267921"/>
    <w:rsid w:val="00862077"/>
    <w:rsid w:val="008F653C"/>
    <w:rsid w:val="00E370AF"/>
    <w:rsid w:val="00F40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480948">
      <w:bodyDiv w:val="1"/>
      <w:marLeft w:val="0"/>
      <w:marRight w:val="0"/>
      <w:marTop w:val="0"/>
      <w:marBottom w:val="0"/>
      <w:divBdr>
        <w:top w:val="none" w:sz="0" w:space="0" w:color="auto"/>
        <w:left w:val="none" w:sz="0" w:space="0" w:color="auto"/>
        <w:bottom w:val="none" w:sz="0" w:space="0" w:color="auto"/>
        <w:right w:val="none" w:sz="0" w:space="0" w:color="auto"/>
      </w:divBdr>
    </w:div>
    <w:div w:id="1727993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ws.amazon.com/blogs/industries/voice-applications-in-clinical-research-powered-by-ai-on-aws-part-1-architecture-and-design-consideration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261</Words>
  <Characters>1492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PavanKalyan Esambadi</cp:lastModifiedBy>
  <cp:revision>2</cp:revision>
  <dcterms:created xsi:type="dcterms:W3CDTF">2025-06-25T03:00:00Z</dcterms:created>
  <dcterms:modified xsi:type="dcterms:W3CDTF">2025-06-25T03:00:00Z</dcterms:modified>
</cp:coreProperties>
</file>