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fontTable+xml" PartName="/word/fontTable.xml"/>
  <Override ContentType="application/vnd.openxmlformats-officedocument.theme+xml" PartName="/word/theme/theme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0"/>
      </w:pPr>
      <w:r>
        <w:drawing>
          <wp:anchor distT="0" distB="0" distL="0" distR="0" simplePos="0" allowOverlap="1" behindDoc="1" locked="0" layoutInCell="1" relativeHeight="10696575">
            <wp:simplePos x="0" y="0"/>
            <wp:positionH relativeFrom="page">
              <wp:posOffset>0</wp:posOffset>
            </wp:positionH>
            <wp:positionV relativeFrom="page">
              <wp:posOffset>0</wp:posOffset>
            </wp:positionV>
            <wp:extent cx="7562850" cy="10696575"/>
            <wp:effectExtent t="0" r="0" b="0" l="0"/>
            <wp:wrapNone/>
            <wp:docPr id="8" name="cover-bg" descr="Fingerprint ridge pattern" title="Cover backgroun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7562850" cy="10696575"/>
                    </a:xfrm>
                    <a:prstGeom prst="rect">
                      <a:avLst/>
                    </a:prstGeom>
                  </pic:spPr>
                </pic:pic>
              </a:graphicData>
            </a:graphic>
          </wp:anchor>
        </w:drawing>
      </w:r>
      <w:r>
        <w:rPr>
          <w:rFonts w:ascii="Calibri" w:cs="Calibri" w:eastAsia="Calibri" w:hAnsi="Calibri"/>
          <w:b/>
          <w:bCs/>
          <w:color w:val="9FD1E2"/>
          <w:spacing w:val="60"/>
          <w:sz w:val="17"/>
          <w:szCs w:val="17"/>
        </w:rPr>
        <w:t xml:space="preserve">RESEARCH REPORT · VERSION 1.0 · PILOT STUDY</w:t>
      </w:r>
    </w:p>
    <w:p>
      <w:pPr>
        <w:spacing w:after="60" w:before="400"/>
      </w:pPr>
      <w:r>
        <w:rPr>
          <w:rFonts w:ascii="Calibri" w:cs="Calibri" w:eastAsia="Calibri" w:hAnsi="Calibri"/>
          <w:color w:val="CFE7EF"/>
          <w:sz w:val="34"/>
          <w:szCs w:val="34"/>
        </w:rPr>
        <w:t xml:space="preserve">Pavan Krovvidi</w:t>
      </w:r>
    </w:p>
    <w:p>
      <w:pPr>
        <w:spacing w:after="240"/>
      </w:pPr>
      <w:r>
        <w:rPr>
          <w:rFonts w:ascii="Calibri" w:cs="Calibri" w:eastAsia="Calibri" w:hAnsi="Calibri"/>
          <w:b/>
          <w:bCs/>
          <w:color w:val="FFFFFF"/>
          <w:sz w:val="66"/>
          <w:szCs w:val="66"/>
        </w:rPr>
        <w:t xml:space="preserve">FingerWave Neural Network</w:t>
      </w:r>
    </w:p>
    <w:p>
      <w:pPr>
        <w:spacing w:after="0" w:line="340"/>
      </w:pPr>
      <w:r>
        <w:rPr>
          <w:rFonts w:ascii="Cambria" w:cs="Cambria" w:eastAsia="Cambria" w:hAnsi="Cambria"/>
          <w:color w:val="D6E6EC"/>
          <w:sz w:val="25"/>
          <w:szCs w:val="25"/>
        </w:rPr>
        <w:t xml:space="preserve">A biologically inspired, boundary-seeded neural PDE that recovers orientation fields and their topology the way fingerprints are formed in the womb.</w:t>
      </w:r>
    </w:p>
    <w:p>
      <w:pPr>
        <w:pBdr>
          <w:left w:val="single" w:color="5FB3CF" w:sz="18" w:space="14"/>
        </w:pBdr>
        <w:spacing w:after="0" w:before="900"/>
        <w:ind w:left="200"/>
      </w:pPr>
      <w:r>
        <w:rPr>
          <w:rFonts w:ascii="Cambria" w:cs="Cambria" w:eastAsia="Cambria" w:hAnsi="Cambria"/>
          <w:i/>
          <w:iCs/>
          <w:color w:val="FFFFFF"/>
          <w:sz w:val="29"/>
          <w:szCs w:val="29"/>
        </w:rPr>
        <w:t xml:space="preserve">“Every life has a unique print. So does every prediction.”</w:t>
      </w:r>
    </w:p>
    <w:p>
      <w:pPr>
        <w:spacing w:after="40" w:before="7600"/>
      </w:pPr>
      <w:r>
        <w:rPr>
          <w:rFonts w:ascii="Calibri" w:cs="Calibri" w:eastAsia="Calibri" w:hAnsi="Calibri"/>
          <w:b/>
          <w:bCs/>
          <w:color w:val="FFFFFF"/>
          <w:sz w:val="24"/>
          <w:szCs w:val="24"/>
        </w:rPr>
        <w:t xml:space="preserve">Pavan Kumar Krovvidi</w:t>
      </w:r>
    </w:p>
    <w:p>
      <w:pPr>
        <w:tabs>
          <w:tab w:val="right" w:pos="9638"/>
        </w:tabs>
        <w:spacing w:after="20"/>
      </w:pPr>
      <w:r>
        <w:rPr>
          <w:rFonts w:ascii="Calibri" w:cs="Calibri" w:eastAsia="Calibri" w:hAnsi="Calibri"/>
          <w:color w:val="CFE0E7"/>
          <w:sz w:val="18"/>
          <w:szCs w:val="18"/>
        </w:rPr>
        <w:t xml:space="preserve">Independent Researcher · AI Engineer</w:t>
      </w:r>
      <w:r>
        <w:rPr>
          <w:rFonts w:ascii="Calibri" w:cs="Calibri" w:eastAsia="Calibri" w:hAnsi="Calibri"/>
          <w:color w:val="CFE0E7"/>
          <w:sz w:val="18"/>
          <w:szCs w:val="18"/>
        </w:rPr>
        <w:t xml:space="preserve">	October 2026</w:t>
      </w:r>
    </w:p>
    <w:p>
      <w:pPr>
        <w:tabs>
          <w:tab w:val="right" w:pos="9638"/>
        </w:tabs>
        <w:spacing w:after="20"/>
      </w:pPr>
      <w:r>
        <w:rPr>
          <w:rFonts w:ascii="Calibri" w:cs="Calibri" w:eastAsia="Calibri" w:hAnsi="Calibri"/>
          <w:color w:val="CFE0E7"/>
          <w:sz w:val="18"/>
          <w:szCs w:val="18"/>
        </w:rPr>
        <w:t xml:space="preserve">Vizianagaram / Hyderabad, India</w:t>
      </w:r>
      <w:r>
        <w:rPr>
          <w:rFonts w:ascii="Calibri" w:cs="Calibri" w:eastAsia="Calibri" w:hAnsi="Calibri"/>
          <w:color w:val="CFE0E7"/>
          <w:sz w:val="18"/>
          <w:szCs w:val="18"/>
        </w:rPr>
        <w:t xml:space="preserve">	Apache License 2.0</w:t>
      </w:r>
    </w:p>
    <w:p>
      <w:pPr>
        <w:tabs>
          <w:tab w:val="right" w:pos="9638"/>
        </w:tabs>
        <w:spacing w:after="20"/>
      </w:pPr>
      <w:r>
        <w:rPr>
          <w:rFonts w:ascii="Calibri" w:cs="Calibri" w:eastAsia="Calibri" w:hAnsi="Calibri"/>
          <w:color w:val="CFE0E7"/>
          <w:sz w:val="18"/>
          <w:szCs w:val="18"/>
        </w:rPr>
        <w:t xml:space="preserve">pavank9848@gmail.com</w:t>
      </w:r>
      <w:r>
        <w:rPr>
          <w:rFonts w:ascii="Calibri" w:cs="Calibri" w:eastAsia="Calibri" w:hAnsi="Calibri"/>
          <w:color w:val="CFE0E7"/>
          <w:sz w:val="18"/>
          <w:szCs w:val="18"/>
        </w:rPr>
        <w:t xml:space="preserve">	github.com/Pavankrovvidi</w:t>
      </w:r>
    </w:p>
    <w:p>
      <w:pPr>
        <w:tabs>
          <w:tab w:val="right" w:pos="9638"/>
        </w:tabs>
        <w:spacing w:after="20"/>
      </w:pPr>
      <w:r>
        <w:rPr>
          <w:rFonts w:ascii="Calibri" w:cs="Calibri" w:eastAsia="Calibri" w:hAnsi="Calibri"/>
          <w:color w:val="CFE0E7"/>
          <w:sz w:val="18"/>
          <w:szCs w:val="18"/>
        </w:rPr>
        <w:t xml:space="preserve">ORCID 0009-0001-3286-7173</w:t>
      </w:r>
      <w:r>
        <w:rPr>
          <w:rFonts w:ascii="Calibri" w:cs="Calibri" w:eastAsia="Calibri" w:hAnsi="Calibri"/>
          <w:color w:val="CFE0E7"/>
          <w:sz w:val="18"/>
          <w:szCs w:val="18"/>
        </w:rPr>
        <w:t xml:space="preserve">	</w:t>
      </w:r>
    </w:p>
    <w:p>
      <w:pPr>
        <w:sectPr>
          <w:pgSz w:w="11906" w:h="16838" w:orient="portrait"/>
          <w:pgMar w:top="1700" w:right="1134" w:bottom="600" w:left="1134" w:header="0" w:footer="0" w:gutter="0"/>
          <w:pgNumType/>
          <w:docGrid w:linePitch="360"/>
        </w:sectPr>
      </w:pPr>
    </w:p>
    <w:tbl>
      <w:tblPr>
        <w:tblW w:type="dxa" w:w="9752"/>
        <w:tblBorders>
          <w:top w:val="single" w:color="auto" w:sz="4"/>
          <w:left w:val="single" w:color="auto" w:sz="4"/>
          <w:bottom w:val="single" w:color="auto" w:sz="4"/>
          <w:right w:val="single" w:color="auto" w:sz="4"/>
          <w:insideH w:val="single" w:color="auto" w:sz="4"/>
          <w:insideV w:val="single" w:color="auto" w:sz="4"/>
        </w:tblBorders>
      </w:tblPr>
      <w:tblGrid>
        <w:gridCol w:w="9752"/>
      </w:tblGrid>
      <w:tr>
        <w:tc>
          <w:tcPr>
            <w:tcW w:type="dxa" w:w="9752"/>
            <w:tcBorders>
              <w:top w:val="none" w:color="FFFFFF" w:sz="0"/>
              <w:left w:val="single" w:color="1F6F8B" w:sz="24"/>
              <w:bottom w:val="none" w:color="FFFFFF" w:sz="0"/>
              <w:right w:val="none" w:color="FFFFFF" w:sz="0"/>
            </w:tcBorders>
            <w:shd w:fill="E8F2F6" w:color="auto" w:val="clear"/>
            <w:tcMar>
              <w:top w:type="dxa" w:w="160"/>
              <w:left w:type="dxa" w:w="220"/>
              <w:bottom w:type="dxa" w:w="120"/>
              <w:right w:type="dxa" w:w="220"/>
            </w:tcMar>
          </w:tcPr>
          <w:p>
            <w:pPr>
              <w:spacing w:after="80"/>
            </w:pPr>
            <w:r>
              <w:rPr>
                <w:rFonts w:ascii="Calibri" w:cs="Calibri" w:eastAsia="Calibri" w:hAnsi="Calibri"/>
                <w:b/>
                <w:bCs/>
                <w:color w:val="154F63"/>
                <w:spacing w:val="40"/>
                <w:sz w:val="15"/>
                <w:szCs w:val="15"/>
              </w:rPr>
              <w:t xml:space="preserve">ABSTRACT</w:t>
            </w:r>
          </w:p>
          <w:p>
            <w:pPr>
              <w:spacing w:after="120" w:line="288"/>
              <w:jc w:val="both"/>
            </w:pPr>
            <w:r>
              <w:t xml:space="preserve">Standard neural networks process every pixel with equal trust. When part of a signal is hidden or noisy, they can produce structures that violate the underlying physics or topology. Human fingerprints offer a different strategy: ridges are initiated at a few reliable sites on the fingertip and travel inward as waves, and the points where those waves collide become the cores and deltas that define each pattern.</w:t>
            </w:r>
          </w:p>
          <w:p>
            <w:pPr>
              <w:spacing w:after="120" w:line="288"/>
              <w:jc w:val="both"/>
            </w:pPr>
            <w:r>
              <w:t xml:space="preserve">In this report I present the </w:t>
            </w:r>
            <w:r>
              <w:rPr>
                <w:b/>
                <w:bCs/>
              </w:rPr>
              <w:t xml:space="preserve">Pavan Krovvidi FingerWave Neural Network</w:t>
            </w:r>
            <w:r>
              <w:t xml:space="preserve">, which I designed to turn that developmental process into a neural architecture. A small encoder estimates a </w:t>
            </w:r>
            <w:r>
              <w:rPr>
                <w:i/>
                <w:iCs/>
              </w:rPr>
              <w:t xml:space="preserve">seed</w:t>
            </w:r>
            <w:r>
              <w:t xml:space="preserve"> field and a </w:t>
            </w:r>
            <w:r>
              <w:rPr>
                <w:i/>
                <w:iCs/>
              </w:rPr>
              <w:t xml:space="preserve">confidence</w:t>
            </w:r>
            <w:r>
              <w:t xml:space="preserve"> map. A learned, stable reaction–diffusion PDE then propagates information from confident regions into uncertain ones, and a differentiable topological loss discourages spurious singularities.</w:t>
            </w:r>
          </w:p>
          <w:p>
            <w:pPr>
              <w:spacing w:after="40" w:line="288"/>
              <w:jc w:val="both"/>
            </w:pPr>
            <w:r>
              <w:t xml:space="preserve">On a benchmark of 500 synthetic, degraded fingerprints with exact ground truth, FingerWave reduced the </w:t>
            </w:r>
            <w:r>
              <w:rPr>
                <w:b/>
                <w:bCs/>
              </w:rPr>
              <w:t xml:space="preserve">Topological Error Rate from 5.8% to 4.0%</w:t>
            </w:r>
            <w:r>
              <w:t xml:space="preserve"> (≈31% relative) compared with a U-Net of the same size, and achieved the lowest orientation error inside occluded regions (7.36° vs 7.66°), averaged over three random seeds. Ablations show that the bio-inspired </w:t>
            </w:r>
            <w:r>
              <w:rPr>
                <w:b/>
                <w:bCs/>
              </w:rPr>
              <w:t xml:space="preserve">boundary seeding</w:t>
            </w:r>
            <w:r>
              <w:t xml:space="preserve"> is the decisive component, while learned anisotropy gave no additional benefit in this setting. These are pilot-scale results, and validation on real fingerprint databases is the next step.</w:t>
            </w:r>
          </w:p>
        </w:tc>
      </w:tr>
    </w:tbl>
    <w:p>
      <w:pPr>
        <w:spacing w:after="200"/>
      </w:pPr>
    </w:p>
    <w:tbl>
      <w:tblPr>
        <w:tblW w:type="dxa" w:w="9752"/>
        <w:tblBorders>
          <w:top w:val="single" w:color="auto" w:sz="4"/>
          <w:left w:val="single" w:color="auto" w:sz="4"/>
          <w:bottom w:val="single" w:color="auto" w:sz="4"/>
          <w:right w:val="single" w:color="auto" w:sz="4"/>
          <w:insideH w:val="single" w:color="auto" w:sz="4"/>
          <w:insideV w:val="single" w:color="auto" w:sz="4"/>
        </w:tblBorders>
      </w:tblPr>
      <w:tblGrid>
        <w:gridCol w:w="2438"/>
        <w:gridCol w:w="2438"/>
        <w:gridCol w:w="2438"/>
        <w:gridCol w:w="2438"/>
      </w:tblGrid>
      <w:tr>
        <w:tc>
          <w:tcPr>
            <w:tcW w:type="dxa" w:w="2438"/>
            <w:tcBorders>
              <w:top w:val="single" w:color="DFE4EA" w:sz="4"/>
              <w:left w:val="single" w:color="DFE4EA" w:sz="4"/>
              <w:bottom w:val="single" w:color="DFE4EA" w:sz="4"/>
              <w:right w:val="single" w:color="DFE4EA" w:sz="4"/>
            </w:tcBorders>
            <w:tcMar>
              <w:top w:type="dxa" w:w="120"/>
              <w:left w:type="dxa" w:w="140"/>
              <w:bottom w:type="dxa" w:w="120"/>
              <w:right w:type="dxa" w:w="140"/>
            </w:tcMar>
          </w:tcPr>
          <w:p>
            <w:r>
              <w:rPr>
                <w:rFonts w:ascii="Calibri" w:cs="Calibri" w:eastAsia="Calibri" w:hAnsi="Calibri"/>
                <w:b/>
                <w:bCs/>
                <w:color w:val="154F63"/>
                <w:sz w:val="36"/>
                <w:szCs w:val="36"/>
              </w:rPr>
              <w:t xml:space="preserve">−31%</w:t>
            </w:r>
          </w:p>
          <w:p>
            <w:r>
              <w:rPr>
                <w:rFonts w:ascii="Calibri" w:cs="Calibri" w:eastAsia="Calibri" w:hAnsi="Calibri"/>
                <w:color w:val="4A5563"/>
                <w:sz w:val="15"/>
                <w:szCs w:val="15"/>
              </w:rPr>
              <w:t xml:space="preserve">topological errors vs same-size U-Net (TER 4.0% vs 5.8%)</w:t>
            </w:r>
          </w:p>
        </w:tc>
        <w:tc>
          <w:tcPr>
            <w:tcW w:type="dxa" w:w="2438"/>
            <w:tcBorders>
              <w:top w:val="single" w:color="DFE4EA" w:sz="4"/>
              <w:left w:val="single" w:color="DFE4EA" w:sz="4"/>
              <w:bottom w:val="single" w:color="DFE4EA" w:sz="4"/>
              <w:right w:val="single" w:color="DFE4EA" w:sz="4"/>
            </w:tcBorders>
            <w:tcMar>
              <w:top w:type="dxa" w:w="120"/>
              <w:left w:type="dxa" w:w="140"/>
              <w:bottom w:type="dxa" w:w="120"/>
              <w:right w:type="dxa" w:w="140"/>
            </w:tcMar>
          </w:tcPr>
          <w:p>
            <w:r>
              <w:rPr>
                <w:rFonts w:ascii="Calibri" w:cs="Calibri" w:eastAsia="Calibri" w:hAnsi="Calibri"/>
                <w:b/>
                <w:bCs/>
                <w:color w:val="154F63"/>
                <w:sz w:val="36"/>
                <w:szCs w:val="36"/>
              </w:rPr>
              <w:t xml:space="preserve">96.0%</w:t>
            </w:r>
          </w:p>
          <w:p>
            <w:r>
              <w:rPr>
                <w:rFonts w:ascii="Calibri" w:cs="Calibri" w:eastAsia="Calibri" w:hAnsi="Calibri"/>
                <w:color w:val="4A5563"/>
                <w:sz w:val="15"/>
                <w:szCs w:val="15"/>
              </w:rPr>
              <w:t xml:space="preserve">pattern-class accuracy (arch / loop / whorl) from recovered topology</w:t>
            </w:r>
          </w:p>
        </w:tc>
        <w:tc>
          <w:tcPr>
            <w:tcW w:type="dxa" w:w="2438"/>
            <w:tcBorders>
              <w:top w:val="single" w:color="DFE4EA" w:sz="4"/>
              <w:left w:val="single" w:color="DFE4EA" w:sz="4"/>
              <w:bottom w:val="single" w:color="DFE4EA" w:sz="4"/>
              <w:right w:val="single" w:color="DFE4EA" w:sz="4"/>
            </w:tcBorders>
            <w:tcMar>
              <w:top w:type="dxa" w:w="120"/>
              <w:left w:type="dxa" w:w="140"/>
              <w:bottom w:type="dxa" w:w="120"/>
              <w:right w:type="dxa" w:w="140"/>
            </w:tcMar>
          </w:tcPr>
          <w:p>
            <w:r>
              <w:rPr>
                <w:rFonts w:ascii="Calibri" w:cs="Calibri" w:eastAsia="Calibri" w:hAnsi="Calibri"/>
                <w:b/>
                <w:bCs/>
                <w:color w:val="154F63"/>
                <w:sz w:val="36"/>
                <w:szCs w:val="36"/>
              </w:rPr>
              <w:t xml:space="preserve">3 / 3</w:t>
            </w:r>
          </w:p>
          <w:p>
            <w:r>
              <w:rPr>
                <w:rFonts w:ascii="Calibri" w:cs="Calibri" w:eastAsia="Calibri" w:hAnsi="Calibri"/>
                <w:color w:val="4A5563"/>
                <w:sz w:val="15"/>
                <w:szCs w:val="15"/>
              </w:rPr>
              <w:t xml:space="preserve">random seeds where FingerWave beat every U-Net run on TER</w:t>
            </w:r>
          </w:p>
        </w:tc>
        <w:tc>
          <w:tcPr>
            <w:tcW w:type="dxa" w:w="2438"/>
            <w:tcBorders>
              <w:top w:val="single" w:color="DFE4EA" w:sz="4"/>
              <w:left w:val="single" w:color="DFE4EA" w:sz="4"/>
              <w:bottom w:val="single" w:color="DFE4EA" w:sz="4"/>
              <w:right w:val="single" w:color="DFE4EA" w:sz="4"/>
            </w:tcBorders>
            <w:tcMar>
              <w:top w:type="dxa" w:w="120"/>
              <w:left w:type="dxa" w:w="140"/>
              <w:bottom w:type="dxa" w:w="120"/>
              <w:right w:type="dxa" w:w="140"/>
            </w:tcMar>
          </w:tcPr>
          <w:p>
            <w:r>
              <w:rPr>
                <w:rFonts w:ascii="Calibri" w:cs="Calibri" w:eastAsia="Calibri" w:hAnsi="Calibri"/>
                <w:b/>
                <w:bCs/>
                <w:color w:val="154F63"/>
                <w:sz w:val="36"/>
                <w:szCs w:val="36"/>
              </w:rPr>
              <w:t xml:space="preserve">0 → 0.44</w:t>
            </w:r>
          </w:p>
          <w:p>
            <w:r>
              <w:rPr>
                <w:rFonts w:ascii="Calibri" w:cs="Calibri" w:eastAsia="Calibri" w:hAnsi="Calibri"/>
                <w:color w:val="4A5563"/>
                <w:sz w:val="15"/>
                <w:szCs w:val="15"/>
              </w:rPr>
              <w:t xml:space="preserve">gradient norm of the topological loss after the redesign</w:t>
            </w:r>
          </w:p>
        </w:tc>
      </w:tr>
    </w:tbl>
    <w:p>
      <w:pPr>
        <w:spacing w:after="200"/>
      </w:pPr>
    </w:p>
    <w:p>
      <w:pPr>
        <w:pStyle w:val="Heading2"/>
      </w:pPr>
      <w:r>
        <w:t xml:space="preserve">Contents</w:t>
      </w:r>
    </w:p>
    <w:tbl>
      <w:tblPr>
        <w:tblW w:type="dxa" w:w="9752"/>
        <w:tblBorders>
          <w:top w:val="single" w:color="auto" w:sz="4"/>
          <w:left w:val="single" w:color="auto" w:sz="4"/>
          <w:bottom w:val="single" w:color="auto" w:sz="4"/>
          <w:right w:val="single" w:color="auto" w:sz="4"/>
          <w:insideH w:val="single" w:color="auto" w:sz="4"/>
          <w:insideV w:val="single" w:color="auto" w:sz="4"/>
        </w:tblBorders>
      </w:tblPr>
      <w:tblGrid>
        <w:gridCol w:w="3250"/>
        <w:gridCol w:w="3250"/>
        <w:gridCol w:w="3252"/>
      </w:tblGrid>
      <w:tr>
        <w:trPr>
          <w:tblHeader/>
        </w:trPr>
        <w:tc>
          <w:tcPr>
            <w:tcW w:type="dxa" w:w="3250"/>
            <w:tcBorders>
              <w:top w:val="none" w:color="FFFFFF" w:sz="0"/>
              <w:left w:val="none" w:color="FFFFFF" w:sz="0"/>
              <w:bottom w:val="single" w:color="1B2430" w:sz="10"/>
              <w:right w:val="none" w:color="FFFFFF" w:sz="0"/>
            </w:tcBorders>
            <w:tcMar>
              <w:top w:type="dxa" w:w="60"/>
              <w:left w:type="dxa" w:w="100"/>
              <w:bottom w:type="dxa" w:w="60"/>
              <w:right w:type="dxa" w:w="100"/>
            </w:tcMar>
            <w:vAlign w:val="top"/>
          </w:tcPr>
          <w:p>
            <w:pPr>
              <w:jc w:val="left"/>
            </w:pPr>
          </w:p>
        </w:tc>
        <w:tc>
          <w:tcPr>
            <w:tcW w:type="dxa" w:w="3250"/>
            <w:tcBorders>
              <w:top w:val="none" w:color="FFFFFF" w:sz="0"/>
              <w:left w:val="none" w:color="FFFFFF" w:sz="0"/>
              <w:bottom w:val="single" w:color="1B2430" w:sz="10"/>
              <w:right w:val="none" w:color="FFFFFF" w:sz="0"/>
            </w:tcBorders>
            <w:tcMar>
              <w:top w:type="dxa" w:w="60"/>
              <w:left w:type="dxa" w:w="100"/>
              <w:bottom w:type="dxa" w:w="60"/>
              <w:right w:type="dxa" w:w="100"/>
            </w:tcMar>
            <w:vAlign w:val="top"/>
          </w:tcPr>
          <w:p>
            <w:pPr>
              <w:jc w:val="left"/>
            </w:pPr>
          </w:p>
        </w:tc>
        <w:tc>
          <w:tcPr>
            <w:tcW w:type="dxa" w:w="3252"/>
            <w:tcBorders>
              <w:top w:val="none" w:color="FFFFFF" w:sz="0"/>
              <w:left w:val="none" w:color="FFFFFF" w:sz="0"/>
              <w:bottom w:val="single" w:color="1B2430" w:sz="10"/>
              <w:right w:val="none" w:color="FFFFFF" w:sz="0"/>
            </w:tcBorders>
            <w:tcMar>
              <w:top w:type="dxa" w:w="60"/>
              <w:left w:type="dxa" w:w="100"/>
              <w:bottom w:type="dxa" w:w="60"/>
              <w:right w:type="dxa" w:w="100"/>
            </w:tcMar>
            <w:vAlign w:val="top"/>
          </w:tcPr>
          <w:p>
            <w:pPr>
              <w:jc w:val="left"/>
            </w:pPr>
          </w:p>
        </w:tc>
      </w:tr>
      <w:tr>
        <w:trPr>
          <w:cantSplit/>
        </w:trPr>
        <w:tc>
          <w:tcPr>
            <w:tcW w:type="dxa" w:w="3250"/>
            <w:tcBorders>
              <w:top w:val="none" w:color="FFFFFF" w:sz="0"/>
              <w:left w:val="none" w:color="FFFFFF" w:sz="0"/>
              <w:bottom w:val="single" w:color="DFE4EA" w:sz="4"/>
              <w:right w:val="none" w:color="FFFFFF" w:sz="0"/>
            </w:tcBorders>
            <w:tcMar>
              <w:top w:type="dxa" w:w="60"/>
              <w:left w:type="dxa" w:w="100"/>
              <w:bottom w:type="dxa" w:w="60"/>
              <w:right w:type="dxa" w:w="100"/>
            </w:tcMar>
            <w:vAlign w:val="top"/>
          </w:tcPr>
          <w:p>
            <w:pPr>
              <w:jc w:val="left"/>
            </w:pPr>
            <w:r>
              <w:rPr>
                <w:rFonts w:ascii="Calibri" w:cs="Calibri" w:eastAsia="Calibri" w:hAnsi="Calibri"/>
                <w:b w:val="false"/>
                <w:bCs w:val="false"/>
                <w:color w:val="1B2430"/>
                <w:sz w:val="16"/>
                <w:szCs w:val="16"/>
              </w:rPr>
              <w:t xml:space="preserve">1  Biological inspiration</w:t>
            </w:r>
          </w:p>
        </w:tc>
        <w:tc>
          <w:tcPr>
            <w:tcW w:type="dxa" w:w="3250"/>
            <w:tcBorders>
              <w:top w:val="none" w:color="FFFFFF" w:sz="0"/>
              <w:left w:val="none" w:color="FFFFFF" w:sz="0"/>
              <w:bottom w:val="single" w:color="DFE4EA" w:sz="4"/>
              <w:right w:val="none" w:color="FFFFFF" w:sz="0"/>
            </w:tcBorders>
            <w:tcMar>
              <w:top w:type="dxa" w:w="60"/>
              <w:left w:type="dxa" w:w="100"/>
              <w:bottom w:type="dxa" w:w="60"/>
              <w:right w:type="dxa" w:w="100"/>
            </w:tcMar>
            <w:vAlign w:val="top"/>
          </w:tcPr>
          <w:p>
            <w:pPr>
              <w:jc w:val="left"/>
            </w:pPr>
            <w:r>
              <w:rPr>
                <w:rFonts w:ascii="Calibri" w:cs="Calibri" w:eastAsia="Calibri" w:hAnsi="Calibri"/>
                <w:b w:val="false"/>
                <w:bCs w:val="false"/>
                <w:color w:val="1B2430"/>
                <w:sz w:val="16"/>
                <w:szCs w:val="16"/>
              </w:rPr>
              <w:t xml:space="preserve">5  Benchmark design</w:t>
            </w:r>
          </w:p>
        </w:tc>
        <w:tc>
          <w:tcPr>
            <w:tcW w:type="dxa" w:w="3252"/>
            <w:tcBorders>
              <w:top w:val="none" w:color="FFFFFF" w:sz="0"/>
              <w:left w:val="none" w:color="FFFFFF" w:sz="0"/>
              <w:bottom w:val="single" w:color="DFE4EA" w:sz="4"/>
              <w:right w:val="none" w:color="FFFFFF" w:sz="0"/>
            </w:tcBorders>
            <w:tcMar>
              <w:top w:type="dxa" w:w="60"/>
              <w:left w:type="dxa" w:w="100"/>
              <w:bottom w:type="dxa" w:w="60"/>
              <w:right w:type="dxa" w:w="100"/>
            </w:tcMar>
            <w:vAlign w:val="top"/>
          </w:tcPr>
          <w:p>
            <w:pPr>
              <w:jc w:val="left"/>
            </w:pPr>
            <w:r>
              <w:rPr>
                <w:rFonts w:ascii="Calibri" w:cs="Calibri" w:eastAsia="Calibri" w:hAnsi="Calibri"/>
                <w:b w:val="false"/>
                <w:bCs w:val="false"/>
                <w:color w:val="1B2430"/>
                <w:sz w:val="16"/>
                <w:szCs w:val="16"/>
              </w:rPr>
              <w:t xml:space="preserve">9  Applications and future work</w:t>
            </w:r>
          </w:p>
        </w:tc>
      </w:tr>
      <w:tr>
        <w:trPr>
          <w:cantSplit/>
        </w:trPr>
        <w:tc>
          <w:tcPr>
            <w:tcW w:type="dxa" w:w="3250"/>
            <w:tcBorders>
              <w:top w:val="none" w:color="FFFFFF" w:sz="0"/>
              <w:left w:val="none" w:color="FFFFFF" w:sz="0"/>
              <w:bottom w:val="single" w:color="DFE4EA" w:sz="4"/>
              <w:right w:val="none" w:color="FFFFFF" w:sz="0"/>
            </w:tcBorders>
            <w:tcMar>
              <w:top w:type="dxa" w:w="60"/>
              <w:left w:type="dxa" w:w="100"/>
              <w:bottom w:type="dxa" w:w="60"/>
              <w:right w:type="dxa" w:w="100"/>
            </w:tcMar>
            <w:vAlign w:val="top"/>
          </w:tcPr>
          <w:p>
            <w:pPr>
              <w:jc w:val="left"/>
            </w:pPr>
            <w:r>
              <w:rPr>
                <w:rFonts w:ascii="Calibri" w:cs="Calibri" w:eastAsia="Calibri" w:hAnsi="Calibri"/>
                <w:b w:val="false"/>
                <w:bCs w:val="false"/>
                <w:color w:val="1B2430"/>
                <w:sz w:val="16"/>
                <w:szCs w:val="16"/>
              </w:rPr>
              <w:t xml:space="preserve">2  The FingerWave method</w:t>
            </w:r>
          </w:p>
        </w:tc>
        <w:tc>
          <w:tcPr>
            <w:tcW w:type="dxa" w:w="3250"/>
            <w:tcBorders>
              <w:top w:val="none" w:color="FFFFFF" w:sz="0"/>
              <w:left w:val="none" w:color="FFFFFF" w:sz="0"/>
              <w:bottom w:val="single" w:color="DFE4EA" w:sz="4"/>
              <w:right w:val="none" w:color="FFFFFF" w:sz="0"/>
            </w:tcBorders>
            <w:tcMar>
              <w:top w:type="dxa" w:w="60"/>
              <w:left w:type="dxa" w:w="100"/>
              <w:bottom w:type="dxa" w:w="60"/>
              <w:right w:type="dxa" w:w="100"/>
            </w:tcMar>
            <w:vAlign w:val="top"/>
          </w:tcPr>
          <w:p>
            <w:pPr>
              <w:jc w:val="left"/>
            </w:pPr>
            <w:r>
              <w:rPr>
                <w:rFonts w:ascii="Calibri" w:cs="Calibri" w:eastAsia="Calibri" w:hAnsi="Calibri"/>
                <w:b w:val="false"/>
                <w:bCs w:val="false"/>
                <w:color w:val="1B2430"/>
                <w:sz w:val="16"/>
                <w:szCs w:val="16"/>
              </w:rPr>
              <w:t xml:space="preserve">6  Results</w:t>
            </w:r>
          </w:p>
        </w:tc>
        <w:tc>
          <w:tcPr>
            <w:tcW w:type="dxa" w:w="3252"/>
            <w:tcBorders>
              <w:top w:val="none" w:color="FFFFFF" w:sz="0"/>
              <w:left w:val="none" w:color="FFFFFF" w:sz="0"/>
              <w:bottom w:val="single" w:color="DFE4EA" w:sz="4"/>
              <w:right w:val="none" w:color="FFFFFF" w:sz="0"/>
            </w:tcBorders>
            <w:tcMar>
              <w:top w:type="dxa" w:w="60"/>
              <w:left w:type="dxa" w:w="100"/>
              <w:bottom w:type="dxa" w:w="60"/>
              <w:right w:type="dxa" w:w="100"/>
            </w:tcMar>
            <w:vAlign w:val="top"/>
          </w:tcPr>
          <w:p>
            <w:pPr>
              <w:jc w:val="left"/>
            </w:pPr>
            <w:r>
              <w:rPr>
                <w:rFonts w:ascii="Calibri" w:cs="Calibri" w:eastAsia="Calibri" w:hAnsi="Calibri"/>
                <w:b w:val="false"/>
                <w:bCs w:val="false"/>
                <w:color w:val="1B2430"/>
                <w:sz w:val="16"/>
                <w:szCs w:val="16"/>
              </w:rPr>
              <w:t xml:space="preserve">10  Reproducibility</w:t>
            </w:r>
          </w:p>
        </w:tc>
      </w:tr>
      <w:tr>
        <w:trPr>
          <w:cantSplit/>
        </w:trPr>
        <w:tc>
          <w:tcPr>
            <w:tcW w:type="dxa" w:w="3250"/>
            <w:tcBorders>
              <w:top w:val="none" w:color="FFFFFF" w:sz="0"/>
              <w:left w:val="none" w:color="FFFFFF" w:sz="0"/>
              <w:bottom w:val="single" w:color="DFE4EA" w:sz="4"/>
              <w:right w:val="none" w:color="FFFFFF" w:sz="0"/>
            </w:tcBorders>
            <w:tcMar>
              <w:top w:type="dxa" w:w="60"/>
              <w:left w:type="dxa" w:w="100"/>
              <w:bottom w:type="dxa" w:w="60"/>
              <w:right w:type="dxa" w:w="100"/>
            </w:tcMar>
            <w:vAlign w:val="top"/>
          </w:tcPr>
          <w:p>
            <w:pPr>
              <w:jc w:val="left"/>
            </w:pPr>
            <w:r>
              <w:rPr>
                <w:rFonts w:ascii="Calibri" w:cs="Calibri" w:eastAsia="Calibri" w:hAnsi="Calibri"/>
                <w:b w:val="false"/>
                <w:bCs w:val="false"/>
                <w:color w:val="1B2430"/>
                <w:sz w:val="16"/>
                <w:szCs w:val="16"/>
              </w:rPr>
              <w:t xml:space="preserve">3  The research journey</w:t>
            </w:r>
          </w:p>
        </w:tc>
        <w:tc>
          <w:tcPr>
            <w:tcW w:type="dxa" w:w="3250"/>
            <w:tcBorders>
              <w:top w:val="none" w:color="FFFFFF" w:sz="0"/>
              <w:left w:val="none" w:color="FFFFFF" w:sz="0"/>
              <w:bottom w:val="single" w:color="DFE4EA" w:sz="4"/>
              <w:right w:val="none" w:color="FFFFFF" w:sz="0"/>
            </w:tcBorders>
            <w:tcMar>
              <w:top w:type="dxa" w:w="60"/>
              <w:left w:type="dxa" w:w="100"/>
              <w:bottom w:type="dxa" w:w="60"/>
              <w:right w:type="dxa" w:w="100"/>
            </w:tcMar>
            <w:vAlign w:val="top"/>
          </w:tcPr>
          <w:p>
            <w:pPr>
              <w:jc w:val="left"/>
            </w:pPr>
            <w:r>
              <w:rPr>
                <w:rFonts w:ascii="Calibri" w:cs="Calibri" w:eastAsia="Calibri" w:hAnsi="Calibri"/>
                <w:b w:val="false"/>
                <w:bCs w:val="false"/>
                <w:color w:val="1B2430"/>
                <w:sz w:val="16"/>
                <w:szCs w:val="16"/>
              </w:rPr>
              <w:t xml:space="preserve">7  Ablation findings</w:t>
            </w:r>
          </w:p>
        </w:tc>
        <w:tc>
          <w:tcPr>
            <w:tcW w:type="dxa" w:w="3252"/>
            <w:tcBorders>
              <w:top w:val="none" w:color="FFFFFF" w:sz="0"/>
              <w:left w:val="none" w:color="FFFFFF" w:sz="0"/>
              <w:bottom w:val="single" w:color="DFE4EA" w:sz="4"/>
              <w:right w:val="none" w:color="FFFFFF" w:sz="0"/>
            </w:tcBorders>
            <w:tcMar>
              <w:top w:type="dxa" w:w="60"/>
              <w:left w:type="dxa" w:w="100"/>
              <w:bottom w:type="dxa" w:w="60"/>
              <w:right w:type="dxa" w:w="100"/>
            </w:tcMar>
            <w:vAlign w:val="top"/>
          </w:tcPr>
          <w:p>
            <w:pPr>
              <w:jc w:val="left"/>
            </w:pPr>
            <w:r>
              <w:rPr>
                <w:rFonts w:ascii="Calibri" w:cs="Calibri" w:eastAsia="Calibri" w:hAnsi="Calibri"/>
                <w:b w:val="false"/>
                <w:bCs w:val="false"/>
                <w:color w:val="1B2430"/>
                <w:sz w:val="16"/>
                <w:szCs w:val="16"/>
              </w:rPr>
              <w:t xml:space="preserve">11  Related work and references</w:t>
            </w:r>
          </w:p>
        </w:tc>
      </w:tr>
      <w:tr>
        <w:trPr>
          <w:cantSplit/>
        </w:trPr>
        <w:tc>
          <w:tcPr>
            <w:tcW w:type="dxa" w:w="3250"/>
            <w:tcBorders>
              <w:top w:val="none" w:color="FFFFFF" w:sz="0"/>
              <w:left w:val="none" w:color="FFFFFF" w:sz="0"/>
              <w:bottom w:val="single" w:color="DFE4EA" w:sz="4"/>
              <w:right w:val="none" w:color="FFFFFF" w:sz="0"/>
            </w:tcBorders>
            <w:tcMar>
              <w:top w:type="dxa" w:w="60"/>
              <w:left w:type="dxa" w:w="100"/>
              <w:bottom w:type="dxa" w:w="60"/>
              <w:right w:type="dxa" w:w="100"/>
            </w:tcMar>
            <w:vAlign w:val="top"/>
          </w:tcPr>
          <w:p>
            <w:pPr>
              <w:jc w:val="left"/>
            </w:pPr>
            <w:r>
              <w:rPr>
                <w:rFonts w:ascii="Calibri" w:cs="Calibri" w:eastAsia="Calibri" w:hAnsi="Calibri"/>
                <w:b w:val="false"/>
                <w:bCs w:val="false"/>
                <w:color w:val="1B2430"/>
                <w:sz w:val="16"/>
                <w:szCs w:val="16"/>
              </w:rPr>
              <w:t xml:space="preserve">4  Verification of the building blocks</w:t>
            </w:r>
          </w:p>
        </w:tc>
        <w:tc>
          <w:tcPr>
            <w:tcW w:type="dxa" w:w="3250"/>
            <w:tcBorders>
              <w:top w:val="none" w:color="FFFFFF" w:sz="0"/>
              <w:left w:val="none" w:color="FFFFFF" w:sz="0"/>
              <w:bottom w:val="single" w:color="DFE4EA" w:sz="4"/>
              <w:right w:val="none" w:color="FFFFFF" w:sz="0"/>
            </w:tcBorders>
            <w:tcMar>
              <w:top w:type="dxa" w:w="60"/>
              <w:left w:type="dxa" w:w="100"/>
              <w:bottom w:type="dxa" w:w="60"/>
              <w:right w:type="dxa" w:w="100"/>
            </w:tcMar>
            <w:vAlign w:val="top"/>
          </w:tcPr>
          <w:p>
            <w:pPr>
              <w:jc w:val="left"/>
            </w:pPr>
            <w:r>
              <w:rPr>
                <w:rFonts w:ascii="Calibri" w:cs="Calibri" w:eastAsia="Calibri" w:hAnsi="Calibri"/>
                <w:b w:val="false"/>
                <w:bCs w:val="false"/>
                <w:color w:val="1B2430"/>
                <w:sz w:val="16"/>
                <w:szCs w:val="16"/>
              </w:rPr>
              <w:t xml:space="preserve">8  Scope and next steps</w:t>
            </w:r>
          </w:p>
        </w:tc>
        <w:tc>
          <w:tcPr>
            <w:tcW w:type="dxa" w:w="3252"/>
            <w:tcBorders>
              <w:top w:val="none" w:color="FFFFFF" w:sz="0"/>
              <w:left w:val="none" w:color="FFFFFF" w:sz="0"/>
              <w:bottom w:val="single" w:color="DFE4EA" w:sz="4"/>
              <w:right w:val="none" w:color="FFFFFF" w:sz="0"/>
            </w:tcBorders>
            <w:tcMar>
              <w:top w:type="dxa" w:w="60"/>
              <w:left w:type="dxa" w:w="100"/>
              <w:bottom w:type="dxa" w:w="60"/>
              <w:right w:type="dxa" w:w="100"/>
            </w:tcMar>
            <w:vAlign w:val="top"/>
          </w:tcPr>
          <w:p>
            <w:pPr>
              <w:jc w:val="left"/>
            </w:pPr>
            <w:r>
              <w:rPr>
                <w:rFonts w:ascii="Calibri" w:cs="Calibri" w:eastAsia="Calibri" w:hAnsi="Calibri"/>
                <w:b w:val="false"/>
                <w:bCs w:val="false"/>
                <w:color w:val="1B2430"/>
                <w:sz w:val="16"/>
                <w:szCs w:val="16"/>
              </w:rPr>
              <w:t xml:space="preserve">12  Contributions, citation, Telugu summary</w:t>
            </w:r>
          </w:p>
        </w:tc>
      </w:tr>
    </w:tbl>
    <w:p>
      <w:r>
        <w:br w:type="page"/>
      </w:r>
    </w:p>
    <w:p>
      <w:pPr>
        <w:pStyle w:val="Heading1"/>
      </w:pPr>
      <w:r>
        <w:rPr>
          <w:color w:val="7FB3C8"/>
        </w:rPr>
        <w:t xml:space="preserve">1  </w:t>
      </w:r>
      <w:r>
        <w:t xml:space="preserve">Biological inspiration</w:t>
      </w:r>
    </w:p>
    <w:p>
      <w:pPr>
        <w:spacing w:after="120" w:line="288"/>
        <w:jc w:val="both"/>
      </w:pPr>
      <w:r>
        <w:t xml:space="preserve">Fingerprints are set down between roughly the 10th and 17th weeks of gestation on transient swellings of the fingertip called </w:t>
      </w:r>
      <w:r>
        <w:rPr>
          <w:i/>
          <w:iCs/>
        </w:rPr>
        <w:t xml:space="preserve">volar pads</w:t>
      </w:r>
      <w:r>
        <w:t xml:space="preserve">. Recent developmental work by Glover et al. (2023) showed that ridges are laid down by a Turing-type reaction–diffusion system: WNT and EDAR signalling act as activators, while BMP signalling acts as an inhibitor. Ridge formation does not start everywhere at once. It begins at a small number of initiation sites (at the fingertip apex, near the nail and at the distal crease) and spreads across the pad as travelling waves.</w:t>
      </w:r>
    </w:p>
    <w:p>
      <w:pPr>
        <w:spacing w:after="120" w:line="288"/>
        <w:jc w:val="both"/>
      </w:pPr>
      <w:r>
        <w:t xml:space="preserve">Where these wavefronts meet, their orientations must be reconciled. The compromise produces the familiar singular points: </w:t>
      </w:r>
      <w:r>
        <w:rPr>
          <w:b/>
          <w:bCs/>
        </w:rPr>
        <w:t xml:space="preserve">cores</w:t>
      </w:r>
      <w:r>
        <w:t xml:space="preserve">, where ridges turn back on themselves (topological index +½), and </w:t>
      </w:r>
      <w:r>
        <w:rPr>
          <w:b/>
          <w:bCs/>
        </w:rPr>
        <w:t xml:space="preserve">deltas</w:t>
      </w:r>
      <w:r>
        <w:t xml:space="preserve">, where three ridge systems meet (index −½). The geometry of the pad and the timing of each wave decide whether the result is an arch, a loop or a whorl. Because of that, even identical twins differ in fine detail.</w:t>
      </w:r>
    </w:p>
    <w:p>
      <w:pPr>
        <w:spacing w:after="60" w:before="120"/>
        <w:jc w:val="center"/>
      </w:pPr>
      <w:r>
        <w:drawing>
          <wp:inline distT="0" distB="0" distL="0" distR="0">
            <wp:extent cx="6191250" cy="22860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6191250" cy="2286000"/>
                    </a:xfrm>
                    <a:prstGeom prst="rect">
                      <a:avLst/>
                    </a:prstGeom>
                  </pic:spPr>
                </pic:pic>
              </a:graphicData>
            </a:graphic>
          </wp:inline>
        </w:drawing>
      </w:r>
    </w:p>
    <w:p>
      <w:pPr>
        <w:spacing w:after="200"/>
      </w:pPr>
      <w:r>
        <w:rPr>
          <w:rFonts w:ascii="Calibri" w:cs="Calibri" w:eastAsia="Calibri" w:hAnsi="Calibri"/>
          <w:b/>
          <w:bCs/>
          <w:color w:val="1B2430"/>
          <w:sz w:val="17"/>
          <w:szCs w:val="17"/>
        </w:rPr>
        <w:t xml:space="preserve">Figure 1. </w:t>
      </w:r>
      <w:r>
        <w:rPr>
          <w:rFonts w:ascii="Calibri" w:cs="Calibri" w:eastAsia="Calibri" w:hAnsi="Calibri"/>
          <w:color w:val="4A5563"/>
          <w:sz w:val="17"/>
          <w:szCs w:val="17"/>
        </w:rPr>
        <w:t xml:space="preserve">The developmental principles behind fingerprints (left, schematic) and the component of FingerWave that each one inspired (right).</w:t>
      </w:r>
    </w:p>
    <w:p>
      <w:pPr>
        <w:spacing w:after="120" w:line="288"/>
        <w:jc w:val="both"/>
      </w:pPr>
      <w:r>
        <w:t xml:space="preserve">The guiding idea behind my work is simple. </w:t>
      </w:r>
      <w:r>
        <w:rPr>
          <w:b/>
          <w:bCs/>
        </w:rPr>
        <w:t xml:space="preserve">An AI model that fills in missing structure should behave like a developing fingertip.</w:t>
      </w:r>
      <w:r>
        <w:t xml:space="preserve"> It should start from the places it trusts, let information travel along the structure instead of across it, and respect the conservation laws that govern how singular points are created and destroyed.</w:t>
      </w:r>
    </w:p>
    <w:p>
      <w:r>
        <w:br w:type="page"/>
      </w:r>
    </w:p>
    <w:p>
      <w:pPr>
        <w:pStyle w:val="Heading1"/>
      </w:pPr>
      <w:r>
        <w:rPr>
          <w:color w:val="7FB3C8"/>
        </w:rPr>
        <w:t xml:space="preserve">2  </w:t>
      </w:r>
      <w:r>
        <w:t xml:space="preserve">The FingerWave method</w:t>
      </w:r>
    </w:p>
    <w:p>
      <w:pPr>
        <w:spacing w:after="120" w:line="288"/>
        <w:jc w:val="both"/>
      </w:pPr>
      <w:r>
        <w:t xml:space="preserve">FingerWave operates on a </w:t>
      </w:r>
      <w:r>
        <w:rPr>
          <w:i/>
          <w:iCs/>
        </w:rPr>
        <w:t xml:space="preserve">director field</w:t>
      </w:r>
      <w:r>
        <w:t xml:space="preserve">: at every location it stores a ridge orientation θ, which has no head or tail (θ and θ+π describe the same ridge). I represent the field with the doubled-angle complex number Ψ = A·e</w:t>
      </w:r>
      <w:r>
        <w:rPr>
          <w:vertAlign w:val="superscript"/>
        </w:rPr>
        <w:t xml:space="preserve">i2θ</w:t>
      </w:r>
      <w:r>
        <w:t xml:space="preserve">, stored as two real channels. This representation makes the field continuous across the θ ≡ θ+π identification and turns fingerprint cores and deltas (index ±½) into ordinary ±1 vortices of Ψ.</w:t>
      </w:r>
    </w:p>
    <w:p>
      <w:pPr>
        <w:spacing w:after="60" w:before="120"/>
        <w:jc w:val="center"/>
      </w:pPr>
      <w:r>
        <w:drawing>
          <wp:inline distT="0" distB="0" distL="0" distR="0">
            <wp:extent cx="6191250" cy="1733550"/>
            <wp:effectExtent t="0" r="0" b="0" l="0"/>
            <wp:docPr id="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6191250" cy="1733550"/>
                    </a:xfrm>
                    <a:prstGeom prst="rect">
                      <a:avLst/>
                    </a:prstGeom>
                  </pic:spPr>
                </pic:pic>
              </a:graphicData>
            </a:graphic>
          </wp:inline>
        </w:drawing>
      </w:r>
    </w:p>
    <w:p>
      <w:pPr>
        <w:spacing w:after="200"/>
      </w:pPr>
      <w:r>
        <w:rPr>
          <w:rFonts w:ascii="Calibri" w:cs="Calibri" w:eastAsia="Calibri" w:hAnsi="Calibri"/>
          <w:b/>
          <w:bCs/>
          <w:color w:val="1B2430"/>
          <w:sz w:val="17"/>
          <w:szCs w:val="17"/>
        </w:rPr>
        <w:t xml:space="preserve">Figure 2. </w:t>
      </w:r>
      <w:r>
        <w:rPr>
          <w:rFonts w:ascii="Calibri" w:cs="Calibri" w:eastAsia="Calibri" w:hAnsi="Calibri"/>
          <w:color w:val="4A5563"/>
          <w:sz w:val="17"/>
          <w:szCs w:val="17"/>
        </w:rPr>
        <w:t xml:space="preserve">FingerWave pipeline. An encoder predicts a seed field and a confidence map. Two PDE stages (coarse, then fine) propagate information from confident to uncertain regions. Training combines a data term with the differentiable topological loss.</w:t>
      </w:r>
    </w:p>
    <w:p>
      <w:pPr>
        <w:pStyle w:val="Heading2"/>
      </w:pPr>
      <w:r>
        <w:t xml:space="preserve">2.1 Boundary seeding (the initiation sites)</w:t>
      </w:r>
    </w:p>
    <w:p>
      <w:pPr>
        <w:spacing w:after="120" w:line="288"/>
        <w:jc w:val="both"/>
      </w:pPr>
      <w:r>
        <w:t xml:space="preserve">The encoder outputs a seed field s and a per-pixel confidence c ∈ (0,1). During every PDE step, confident pixels are pulled towards their seed through a forcing term, while low-confidence pixels are filled in by the dynamics alone:</w:t>
      </w:r>
    </w:p>
    <w:p>
      <w:pPr>
        <w:shd w:fill="F4F7F9" w:color="auto" w:val="clear"/>
        <w:tabs>
          <w:tab w:val="right" w:pos="9752"/>
        </w:tabs>
        <w:spacing w:after="140" w:before="100"/>
        <w:jc w:val="center"/>
      </w:pPr>
      <w:r>
        <w:rPr>
          <w:i/>
          <w:iCs/>
          <w:sz w:val="22"/>
          <w:szCs w:val="22"/>
        </w:rPr>
        <w:t xml:space="preserve">∂Ψ/∂t = 𝒫(Ψ) + λ · c · (s − Ψ)</w:t>
      </w:r>
      <w:r>
        <w:rPr>
          <w:rFonts w:ascii="Calibri" w:cs="Calibri" w:eastAsia="Calibri" w:hAnsi="Calibri"/>
          <w:color w:val="7A8494"/>
          <w:sz w:val="17"/>
          <w:szCs w:val="17"/>
        </w:rPr>
        <w:t xml:space="preserve">	(1)</w:t>
      </w:r>
    </w:p>
    <w:p>
      <w:pPr>
        <w:spacing w:after="120" w:line="288"/>
        <w:jc w:val="both"/>
      </w:pPr>
      <w:r>
        <w:t xml:space="preserve">The strength λ is learned and bounded (λ·Δt ≤ 0.8) so that the forcing step stays stable.</w:t>
      </w:r>
    </w:p>
    <w:p>
      <w:pPr>
        <w:pStyle w:val="Heading2"/>
      </w:pPr>
      <w:r>
        <w:t xml:space="preserve">2.2 The wavefront PDE (the travelling waves)</w:t>
      </w:r>
    </w:p>
    <w:p>
      <w:pPr>
        <w:spacing w:after="120" w:line="288"/>
        <w:jc w:val="both"/>
      </w:pPr>
      <w:r>
        <w:t xml:space="preserve">The propagation operator 𝒫 combines anisotropic diffusion with a complex Ginzburg–Landau reaction, the standard model for travelling waves and spiral patterns in physics and chemistry:</w:t>
      </w:r>
    </w:p>
    <w:p>
      <w:pPr>
        <w:shd w:fill="F4F7F9" w:color="auto" w:val="clear"/>
        <w:tabs>
          <w:tab w:val="right" w:pos="9752"/>
        </w:tabs>
        <w:spacing w:after="140" w:before="100"/>
        <w:jc w:val="center"/>
      </w:pPr>
      <w:r>
        <w:rPr>
          <w:i/>
          <w:iCs/>
          <w:sz w:val="22"/>
          <w:szCs w:val="22"/>
        </w:rPr>
        <w:t xml:space="preserve">𝒫(Ψ) = ∇·(D∇Ψ) + (α + iβ)Ψ − (1 + iγ)|Ψ|²Ψ</w:t>
      </w:r>
      <w:r>
        <w:rPr>
          <w:rFonts w:ascii="Calibri" w:cs="Calibri" w:eastAsia="Calibri" w:hAnsi="Calibri"/>
          <w:color w:val="7A8494"/>
          <w:sz w:val="17"/>
          <w:szCs w:val="17"/>
        </w:rPr>
        <w:t xml:space="preserve">	(2)</w:t>
      </w:r>
    </w:p>
    <w:p>
      <w:pPr>
        <w:spacing w:after="120" w:line="288"/>
        <w:jc w:val="both"/>
      </w:pPr>
      <w:r>
        <w:t xml:space="preserve">The diffusion tensor D = d</w:t>
      </w:r>
      <w:r>
        <w:rPr>
          <w:vertAlign w:val="subscript"/>
        </w:rPr>
        <w:t xml:space="preserve">⊥</w:t>
      </w:r>
      <w:r>
        <w:t xml:space="preserve">I + (d</w:t>
      </w:r>
      <w:r>
        <w:rPr>
          <w:vertAlign w:val="subscript"/>
        </w:rPr>
        <w:t xml:space="preserve">∥</w:t>
      </w:r>
      <w:r>
        <w:t xml:space="preserve"> − d</w:t>
      </w:r>
      <w:r>
        <w:rPr>
          <w:vertAlign w:val="subscript"/>
        </w:rPr>
        <w:t xml:space="preserve">⊥</w:t>
      </w:r>
      <w:r>
        <w:t xml:space="preserve">)·c·t tᵀ, with t = (cos θ, sin θ), lets information move faster along ridges than across them. It is computed directly from Ψ, without any arctangent, so that gradients stay finite where Ψ = 0. Diffusion is discretised in conservative flux form, and the cubic reaction is treated semi-implicitly. The coefficients d</w:t>
      </w:r>
      <w:r>
        <w:rPr>
          <w:vertAlign w:val="subscript"/>
        </w:rPr>
        <w:t xml:space="preserve">∥</w:t>
      </w:r>
      <w:r>
        <w:t xml:space="preserve">, d</w:t>
      </w:r>
      <w:r>
        <w:rPr>
          <w:vertAlign w:val="subscript"/>
        </w:rPr>
        <w:t xml:space="preserve">⊥</w:t>
      </w:r>
      <w:r>
        <w:t xml:space="preserve"> are bounded by d</w:t>
      </w:r>
      <w:r>
        <w:rPr>
          <w:vertAlign w:val="subscript"/>
        </w:rPr>
        <w:t xml:space="preserve">max</w:t>
      </w:r>
      <w:r>
        <w:t xml:space="preserve"> through a sigmoid, and the time step Δt = 0.2/d</w:t>
      </w:r>
      <w:r>
        <w:rPr>
          <w:vertAlign w:val="subscript"/>
        </w:rPr>
        <w:t xml:space="preserve">max</w:t>
      </w:r>
      <w:r>
        <w:t xml:space="preserve"> keeps the explicit scheme inside its stability limit.</w:t>
      </w:r>
    </w:p>
    <w:p>
      <w:pPr>
        <w:pStyle w:val="Heading2"/>
      </w:pPr>
      <w:r>
        <w:t xml:space="preserve">2.3 Differentiable topological loss (conservation of cores and deltas)</w:t>
      </w:r>
    </w:p>
    <w:p>
      <w:pPr>
        <w:spacing w:after="120" w:line="288"/>
        <w:jc w:val="both"/>
      </w:pPr>
      <w:r>
        <w:t xml:space="preserve">The loss combines a Ginzburg–Landau energy, which assigns a smooth, differentiable cost to every defect, with a soft topological charge computed from the Jacobian of Ψ:</w:t>
      </w:r>
    </w:p>
    <w:p>
      <w:pPr>
        <w:shd w:fill="F4F7F9" w:color="auto" w:val="clear"/>
        <w:tabs>
          <w:tab w:val="right" w:pos="9752"/>
        </w:tabs>
        <w:spacing w:after="140" w:before="100"/>
        <w:jc w:val="center"/>
      </w:pPr>
      <w:r>
        <w:rPr>
          <w:i/>
          <w:iCs/>
          <w:sz w:val="22"/>
          <w:szCs w:val="22"/>
        </w:rPr>
        <w:t xml:space="preserve">ℒ</w:t>
      </w:r>
      <w:r>
        <w:rPr>
          <w:i/>
          <w:iCs/>
          <w:sz w:val="22"/>
          <w:szCs w:val="22"/>
          <w:vertAlign w:val="subscript"/>
        </w:rPr>
        <w:t xml:space="preserve">topo</w:t>
      </w:r>
      <w:r>
        <w:rPr>
          <w:i/>
          <w:iCs/>
          <w:sz w:val="22"/>
          <w:szCs w:val="22"/>
        </w:rPr>
        <w:t xml:space="preserve"> = ⟨|∇Ψ|²⟩ + ⟨(1 − |Ψ|²)²⟩ / 2ε² + w</w:t>
      </w:r>
      <w:r>
        <w:rPr>
          <w:i/>
          <w:iCs/>
          <w:sz w:val="22"/>
          <w:szCs w:val="22"/>
          <w:vertAlign w:val="subscript"/>
        </w:rPr>
        <w:t xml:space="preserve">q</w:t>
      </w:r>
      <w:r>
        <w:rPr>
          <w:i/>
          <w:iCs/>
          <w:sz w:val="22"/>
          <w:szCs w:val="22"/>
        </w:rPr>
        <w:t xml:space="preserve"> (Σρ/2 − q∗)²,   ρ = (∂ₓu ∂ᵧv − ∂ᵧu ∂ₓv)/π</w:t>
      </w:r>
      <w:r>
        <w:rPr>
          <w:rFonts w:ascii="Calibri" w:cs="Calibri" w:eastAsia="Calibri" w:hAnsi="Calibri"/>
          <w:color w:val="7A8494"/>
          <w:sz w:val="17"/>
          <w:szCs w:val="17"/>
        </w:rPr>
        <w:t xml:space="preserve">	(3)</w:t>
      </w:r>
    </w:p>
    <w:p>
      <w:pPr>
        <w:spacing w:after="120" w:line="288"/>
        <w:jc w:val="both"/>
      </w:pPr>
      <w:r>
        <w:t xml:space="preserve">The target net index is q∗ = 0, which holds for arches, loops and whorls alike. A hard, integer-valued winding counter is kept only as an </w:t>
      </w:r>
      <w:r>
        <w:rPr>
          <w:i/>
          <w:iCs/>
        </w:rPr>
        <w:t xml:space="preserve">evaluation</w:t>
      </w:r>
      <w:r>
        <w:t xml:space="preserve"> metric.</w:t>
      </w:r>
    </w:p>
    <w:p>
      <w:pPr>
        <w:spacing w:after="160"/>
      </w:pPr>
    </w:p>
    <w:p>
      <w:pPr>
        <w:pStyle w:val="Heading1"/>
      </w:pPr>
      <w:r>
        <w:rPr>
          <w:color w:val="7FB3C8"/>
        </w:rPr>
        <w:t xml:space="preserve">3  </w:t>
      </w:r>
      <w:r>
        <w:t xml:space="preserve">The research journey</w:t>
      </w:r>
    </w:p>
    <w:p>
      <w:pPr>
        <w:spacing w:after="120" w:line="288"/>
        <w:jc w:val="both"/>
      </w:pPr>
      <w:r>
        <w:t xml:space="preserve">This section describes how my research actually progressed, including the mistakes. I drove every stage with a test that either confirmed or contradicted an assumption, and I changed the design whenever the evidence required it.</w:t>
      </w:r>
    </w:p>
    <w:p>
      <w:pPr>
        <w:pBdr>
          <w:left w:val="single" w:color="7FB3C8" w:sz="18" w:space="10"/>
        </w:pBdr>
        <w:spacing w:after="0" w:before="100"/>
        <w:ind w:left="300"/>
      </w:pPr>
      <w:r>
        <w:rPr>
          <w:rFonts w:ascii="Calibri" w:cs="Calibri" w:eastAsia="Calibri" w:hAnsi="Calibri"/>
          <w:b/>
          <w:bCs/>
          <w:color w:val="7A8494"/>
          <w:spacing w:val="30"/>
          <w:sz w:val="14"/>
          <w:szCs w:val="14"/>
        </w:rPr>
        <w:t xml:space="preserve">STAGE 1 · HYPOTHESIS</w:t>
      </w:r>
    </w:p>
    <w:p>
      <w:pPr>
        <w:pBdr>
          <w:left w:val="single" w:color="7FB3C8" w:sz="18" w:space="10"/>
        </w:pBdr>
        <w:spacing w:after="0"/>
        <w:ind w:left="300"/>
      </w:pPr>
      <w:r>
        <w:rPr>
          <w:rFonts w:ascii="Calibri" w:cs="Calibri" w:eastAsia="Calibri" w:hAnsi="Calibri"/>
          <w:b/>
          <w:bCs/>
          <w:color w:val="154F63"/>
          <w:sz w:val="19"/>
          <w:szCs w:val="19"/>
        </w:rPr>
        <w:t xml:space="preserve">Fingerprint development as an AI architecture</w:t>
      </w:r>
    </w:p>
    <w:p>
      <w:pPr>
        <w:pBdr>
          <w:left w:val="single" w:color="7FB3C8" w:sz="18" w:space="10"/>
        </w:pBdr>
        <w:spacing w:after="80" w:line="276"/>
        <w:ind w:left="300"/>
        <w:jc w:val="both"/>
      </w:pPr>
      <w:r>
        <w:rPr>
          <w:sz w:val="19"/>
          <w:szCs w:val="19"/>
        </w:rPr>
        <w:t xml:space="preserve">I formulated the concept: a boundary-seeded wavefront network with a manifold prior and a topology-preserving loss, along with initial code and proposed applications (vision, forecasting, drug discovery).</w:t>
      </w:r>
    </w:p>
    <w:p>
      <w:pPr>
        <w:pBdr>
          <w:left w:val="single" w:color="7FB3C8" w:sz="18" w:space="10"/>
        </w:pBdr>
        <w:spacing w:after="0" w:before="100"/>
        <w:ind w:left="300"/>
      </w:pPr>
      <w:r>
        <w:rPr>
          <w:rFonts w:ascii="Calibri" w:cs="Calibri" w:eastAsia="Calibri" w:hAnsi="Calibri"/>
          <w:b/>
          <w:bCs/>
          <w:color w:val="7A8494"/>
          <w:spacing w:val="30"/>
          <w:sz w:val="14"/>
          <w:szCs w:val="14"/>
        </w:rPr>
        <w:t xml:space="preserve">STAGE 2 · CRITICAL REVIEW</w:t>
      </w:r>
    </w:p>
    <w:p>
      <w:pPr>
        <w:pBdr>
          <w:left w:val="single" w:color="7FB3C8" w:sz="18" w:space="10"/>
        </w:pBdr>
        <w:spacing w:after="0"/>
        <w:ind w:left="300"/>
      </w:pPr>
      <w:r>
        <w:rPr>
          <w:rFonts w:ascii="Calibri" w:cs="Calibri" w:eastAsia="Calibri" w:hAnsi="Calibri"/>
          <w:b/>
          <w:bCs/>
          <w:color w:val="154F63"/>
          <w:sz w:val="19"/>
          <w:szCs w:val="19"/>
        </w:rPr>
        <w:t xml:space="preserve">Seven technical issues identified</w:t>
      </w:r>
    </w:p>
    <w:p>
      <w:pPr>
        <w:pBdr>
          <w:left w:val="single" w:color="7FB3C8" w:sz="18" w:space="10"/>
        </w:pBdr>
        <w:spacing w:after="80" w:line="276"/>
        <w:ind w:left="300"/>
        <w:jc w:val="both"/>
      </w:pPr>
      <w:r>
        <w:rPr>
          <w:sz w:val="19"/>
          <w:szCs w:val="19"/>
        </w:rPr>
        <w:t xml:space="preserve">With AI assistance, I critically reviewed my original design and identified that (i) the original topological loss had zero gradient, (ii) its Poincaré–Hopf target (χ = 1) contradicted the biology (net index 0), (iii) the code treated the unoriented ridge field as an oriented vector field, (iv) the "anisotropic" diffusion was isotropic, (v) the complex wave Ψ was not implemented, (vi) explicit Euler had no stability bound, and (vii) some application mappings had sign errors.</w:t>
      </w:r>
    </w:p>
    <w:p>
      <w:pPr>
        <w:pBdr>
          <w:left w:val="single" w:color="7FB3C8" w:sz="18" w:space="10"/>
        </w:pBdr>
        <w:spacing w:after="0" w:before="100"/>
        <w:ind w:left="300"/>
      </w:pPr>
      <w:r>
        <w:rPr>
          <w:rFonts w:ascii="Calibri" w:cs="Calibri" w:eastAsia="Calibri" w:hAnsi="Calibri"/>
          <w:b/>
          <w:bCs/>
          <w:color w:val="7A8494"/>
          <w:spacing w:val="30"/>
          <w:sz w:val="14"/>
          <w:szCs w:val="14"/>
        </w:rPr>
        <w:t xml:space="preserve">STAGE 3 · FIX 1</w:t>
      </w:r>
    </w:p>
    <w:p>
      <w:pPr>
        <w:pBdr>
          <w:left w:val="single" w:color="7FB3C8" w:sz="18" w:space="10"/>
        </w:pBdr>
        <w:spacing w:after="0"/>
        <w:ind w:left="300"/>
      </w:pPr>
      <w:r>
        <w:rPr>
          <w:rFonts w:ascii="Calibri" w:cs="Calibri" w:eastAsia="Calibri" w:hAnsi="Calibri"/>
          <w:b/>
          <w:bCs/>
          <w:color w:val="154F63"/>
          <w:sz w:val="19"/>
          <w:szCs w:val="19"/>
        </w:rPr>
        <w:t xml:space="preserve">Topological loss rebuilt</w:t>
      </w:r>
    </w:p>
    <w:p>
      <w:pPr>
        <w:pBdr>
          <w:left w:val="single" w:color="7FB3C8" w:sz="18" w:space="10"/>
        </w:pBdr>
        <w:spacing w:after="80" w:line="276"/>
        <w:ind w:left="300"/>
        <w:jc w:val="both"/>
      </w:pPr>
      <w:r>
        <w:rPr>
          <w:sz w:val="19"/>
          <w:szCs w:val="19"/>
        </w:rPr>
        <w:t xml:space="preserve">I redesigned the loss around the doubled-angle director field, Ginzburg–Landau energy and a soft Jacobian charge. A gradient test confirmed the diagnosis: old loss ‖∇‖ = 0.00, new loss ‖∇‖ = 0.44.</w:t>
      </w:r>
    </w:p>
    <w:p>
      <w:pPr>
        <w:pBdr>
          <w:left w:val="single" w:color="7FB3C8" w:sz="18" w:space="10"/>
        </w:pBdr>
        <w:spacing w:after="0" w:before="100"/>
        <w:ind w:left="300"/>
      </w:pPr>
      <w:r>
        <w:rPr>
          <w:rFonts w:ascii="Calibri" w:cs="Calibri" w:eastAsia="Calibri" w:hAnsi="Calibri"/>
          <w:b/>
          <w:bCs/>
          <w:color w:val="7A8494"/>
          <w:spacing w:val="30"/>
          <w:sz w:val="14"/>
          <w:szCs w:val="14"/>
        </w:rPr>
        <w:t xml:space="preserve">STAGE 4 · FIX 2</w:t>
      </w:r>
    </w:p>
    <w:p>
      <w:pPr>
        <w:pBdr>
          <w:left w:val="single" w:color="7FB3C8" w:sz="18" w:space="10"/>
        </w:pBdr>
        <w:spacing w:after="0"/>
        <w:ind w:left="300"/>
      </w:pPr>
      <w:r>
        <w:rPr>
          <w:rFonts w:ascii="Calibri" w:cs="Calibri" w:eastAsia="Calibri" w:hAnsi="Calibri"/>
          <w:b/>
          <w:bCs/>
          <w:color w:val="154F63"/>
          <w:sz w:val="19"/>
          <w:szCs w:val="19"/>
        </w:rPr>
        <w:t xml:space="preserve">Wavefront PDE layer rebuilt</w:t>
      </w:r>
    </w:p>
    <w:p>
      <w:pPr>
        <w:pBdr>
          <w:left w:val="single" w:color="7FB3C8" w:sz="18" w:space="10"/>
        </w:pBdr>
        <w:spacing w:after="80" w:line="276"/>
        <w:ind w:left="300"/>
        <w:jc w:val="both"/>
      </w:pPr>
      <w:r>
        <w:rPr>
          <w:sz w:val="19"/>
          <w:szCs w:val="19"/>
        </w:rPr>
        <w:t xml:space="preserve">I rebuilt the layer with a complex Ψ, a true flux-form ∇·(D∇Ψ), a Ginzburg–Landau reaction and a stability bound. It passed four physics tests (Section 4).</w:t>
      </w:r>
    </w:p>
    <w:p>
      <w:pPr>
        <w:pBdr>
          <w:left w:val="single" w:color="B23A3A" w:sz="18" w:space="10"/>
        </w:pBdr>
        <w:spacing w:after="0" w:before="100"/>
        <w:ind w:left="300"/>
      </w:pPr>
      <w:r>
        <w:rPr>
          <w:rFonts w:ascii="Calibri" w:cs="Calibri" w:eastAsia="Calibri" w:hAnsi="Calibri"/>
          <w:b/>
          <w:bCs/>
          <w:color w:val="7A8494"/>
          <w:spacing w:val="30"/>
          <w:sz w:val="14"/>
          <w:szCs w:val="14"/>
        </w:rPr>
        <w:t xml:space="preserve">BUG FOUND</w:t>
      </w:r>
    </w:p>
    <w:p>
      <w:pPr>
        <w:pBdr>
          <w:left w:val="single" w:color="B23A3A" w:sz="18" w:space="10"/>
        </w:pBdr>
        <w:spacing w:after="0"/>
        <w:ind w:left="300"/>
      </w:pPr>
      <w:r>
        <w:rPr>
          <w:rFonts w:ascii="Calibri" w:cs="Calibri" w:eastAsia="Calibri" w:hAnsi="Calibri"/>
          <w:b/>
          <w:bCs/>
          <w:color w:val="B23A3A"/>
          <w:sz w:val="19"/>
          <w:szCs w:val="19"/>
        </w:rPr>
        <w:t xml:space="preserve">Cubic reaction exploded; arctangent produced NaN</w:t>
      </w:r>
    </w:p>
    <w:p>
      <w:pPr>
        <w:pBdr>
          <w:left w:val="single" w:color="B23A3A" w:sz="18" w:space="10"/>
        </w:pBdr>
        <w:spacing w:after="80" w:line="276"/>
        <w:ind w:left="300"/>
        <w:jc w:val="both"/>
      </w:pPr>
      <w:r>
        <w:rPr>
          <w:sz w:val="19"/>
          <w:szCs w:val="19"/>
        </w:rPr>
        <w:t xml:space="preserve">The |Ψ|²Ψ term diverged for large inputs, so I now integrate it semi-implicitly. At Ψ = 0, atan2 produced NaN gradients, so I now compute the diffusion tensor from Ψ directly.</w:t>
      </w:r>
    </w:p>
    <w:p>
      <w:pPr>
        <w:pBdr>
          <w:left w:val="single" w:color="B23A3A" w:sz="18" w:space="10"/>
        </w:pBdr>
        <w:spacing w:after="0" w:before="100"/>
        <w:ind w:left="300"/>
      </w:pPr>
      <w:r>
        <w:rPr>
          <w:rFonts w:ascii="Calibri" w:cs="Calibri" w:eastAsia="Calibri" w:hAnsi="Calibri"/>
          <w:b/>
          <w:bCs/>
          <w:color w:val="7A8494"/>
          <w:spacing w:val="30"/>
          <w:sz w:val="14"/>
          <w:szCs w:val="14"/>
        </w:rPr>
        <w:t xml:space="preserve">BUG FOUND</w:t>
      </w:r>
    </w:p>
    <w:p>
      <w:pPr>
        <w:pBdr>
          <w:left w:val="single" w:color="B23A3A" w:sz="18" w:space="10"/>
        </w:pBdr>
        <w:spacing w:after="0"/>
        <w:ind w:left="300"/>
      </w:pPr>
      <w:r>
        <w:rPr>
          <w:rFonts w:ascii="Calibri" w:cs="Calibri" w:eastAsia="Calibri" w:hAnsi="Calibri"/>
          <w:b/>
          <w:bCs/>
          <w:color w:val="B23A3A"/>
          <w:sz w:val="19"/>
          <w:szCs w:val="19"/>
        </w:rPr>
        <w:t xml:space="preserve">Hard seeding blocked learning (gradient ≈ 10⁻²⁵)</w:t>
      </w:r>
    </w:p>
    <w:p>
      <w:pPr>
        <w:pBdr>
          <w:left w:val="single" w:color="B23A3A" w:sz="18" w:space="10"/>
        </w:pBdr>
        <w:spacing w:after="80" w:line="276"/>
        <w:ind w:left="300"/>
        <w:jc w:val="both"/>
      </w:pPr>
      <w:r>
        <w:rPr>
          <w:sz w:val="19"/>
          <w:szCs w:val="19"/>
        </w:rPr>
        <w:t xml:space="preserve">Blending the field with the seed at every step meant that almost nothing from the PDE survived, so its parameters received gradients of order 10⁻²⁵. I reformulated seeding as the forcing term of Eq. (1), after which the PDE parameters trained normally.</w:t>
      </w:r>
    </w:p>
    <w:p>
      <w:pPr>
        <w:pBdr>
          <w:left w:val="single" w:color="7FB3C8" w:sz="18" w:space="10"/>
        </w:pBdr>
        <w:spacing w:after="0" w:before="100"/>
        <w:ind w:left="300"/>
      </w:pPr>
      <w:r>
        <w:rPr>
          <w:rFonts w:ascii="Calibri" w:cs="Calibri" w:eastAsia="Calibri" w:hAnsi="Calibri"/>
          <w:b/>
          <w:bCs/>
          <w:color w:val="7A8494"/>
          <w:spacing w:val="30"/>
          <w:sz w:val="14"/>
          <w:szCs w:val="14"/>
        </w:rPr>
        <w:t xml:space="preserve">STAGE 5 · BENCHMARK</w:t>
      </w:r>
    </w:p>
    <w:p>
      <w:pPr>
        <w:pBdr>
          <w:left w:val="single" w:color="7FB3C8" w:sz="18" w:space="10"/>
        </w:pBdr>
        <w:spacing w:after="0"/>
        <w:ind w:left="300"/>
      </w:pPr>
      <w:r>
        <w:rPr>
          <w:rFonts w:ascii="Calibri" w:cs="Calibri" w:eastAsia="Calibri" w:hAnsi="Calibri"/>
          <w:b/>
          <w:bCs/>
          <w:color w:val="154F63"/>
          <w:sz w:val="19"/>
          <w:szCs w:val="19"/>
        </w:rPr>
        <w:t xml:space="preserve">15 training runs on 2,500 benchmark fingerprints</w:t>
      </w:r>
    </w:p>
    <w:p>
      <w:pPr>
        <w:pBdr>
          <w:left w:val="single" w:color="7FB3C8" w:sz="18" w:space="10"/>
        </w:pBdr>
        <w:spacing w:after="80" w:line="276"/>
        <w:ind w:left="300"/>
        <w:jc w:val="both"/>
      </w:pPr>
      <w:r>
        <w:rPr>
          <w:sz w:val="19"/>
          <w:szCs w:val="19"/>
        </w:rPr>
        <w:t xml:space="preserve">I compared six methods with three seeds each, about 1.5 hours on a 2-core CPU. I report all results and ablations in Sections 6 and 7, including the ones that did not favour my original hypothesis.</w:t>
      </w:r>
    </w:p>
    <w:p>
      <w:pPr>
        <w:spacing w:after="100"/>
      </w:pPr>
    </w:p>
    <w:tbl>
      <w:tblPr>
        <w:tblW w:type="dxa" w:w="9752"/>
        <w:tblBorders>
          <w:top w:val="single" w:color="auto" w:sz="4"/>
          <w:left w:val="single" w:color="auto" w:sz="4"/>
          <w:bottom w:val="single" w:color="auto" w:sz="4"/>
          <w:right w:val="single" w:color="auto" w:sz="4"/>
          <w:insideH w:val="single" w:color="auto" w:sz="4"/>
          <w:insideV w:val="single" w:color="auto" w:sz="4"/>
        </w:tblBorders>
      </w:tblPr>
      <w:tblGrid>
        <w:gridCol w:w="9752"/>
      </w:tblGrid>
      <w:tr>
        <w:tc>
          <w:tcPr>
            <w:tcW w:type="dxa" w:w="9752"/>
            <w:tcBorders>
              <w:top w:val="none" w:color="FFFFFF" w:sz="0"/>
              <w:left w:val="single" w:color="7FB3C8" w:sz="24"/>
              <w:bottom w:val="none" w:color="FFFFFF" w:sz="0"/>
              <w:right w:val="none" w:color="FFFFFF" w:sz="0"/>
            </w:tcBorders>
            <w:shd w:fill="F4F7F9" w:color="auto" w:val="clear"/>
            <w:tcMar>
              <w:top w:type="dxa" w:w="160"/>
              <w:left w:type="dxa" w:w="220"/>
              <w:bottom w:type="dxa" w:w="120"/>
              <w:right w:type="dxa" w:w="220"/>
            </w:tcMar>
          </w:tcPr>
          <w:p>
            <w:pPr>
              <w:spacing w:after="80"/>
            </w:pPr>
            <w:r>
              <w:rPr>
                <w:rFonts w:ascii="Calibri" w:cs="Calibri" w:eastAsia="Calibri" w:hAnsi="Calibri"/>
                <w:b/>
                <w:bCs/>
                <w:color w:val="154F63"/>
                <w:spacing w:val="40"/>
                <w:sz w:val="15"/>
                <w:szCs w:val="15"/>
              </w:rPr>
              <w:t xml:space="preserve">WHY INCLUDE THE FAILURES?</w:t>
            </w:r>
          </w:p>
          <w:p>
            <w:pPr>
              <w:spacing w:after="40" w:line="288"/>
              <w:jc w:val="both"/>
            </w:pPr>
            <w:r>
              <w:t xml:space="preserve">The bugs are part of the evidence. A method whose weaknesses I actively searched for and fixed is more trustworthy than one that has only been shown to work.</w:t>
            </w:r>
          </w:p>
        </w:tc>
      </w:tr>
    </w:tbl>
    <w:p>
      <w:pPr>
        <w:spacing w:after="200"/>
      </w:pPr>
    </w:p>
    <w:p>
      <w:pPr>
        <w:pStyle w:val="Heading1"/>
      </w:pPr>
      <w:r>
        <w:rPr>
          <w:color w:val="7FB3C8"/>
        </w:rPr>
        <w:t xml:space="preserve">4  </w:t>
      </w:r>
      <w:r>
        <w:t xml:space="preserve">Verification of the building blocks</w:t>
      </w:r>
    </w:p>
    <w:p>
      <w:pPr>
        <w:spacing w:after="120" w:line="288"/>
        <w:jc w:val="both"/>
      </w:pPr>
      <w:r>
        <w:t xml:space="preserve">Before any benchmark, I tested each component against problems with known answers.</w:t>
      </w:r>
    </w:p>
    <w:p>
      <w:pPr>
        <w:pStyle w:val="Heading2"/>
      </w:pPr>
      <w:r>
        <w:t xml:space="preserve">4.1 Topological loss</w:t>
      </w:r>
    </w:p>
    <w:tbl>
      <w:tblPr>
        <w:tblW w:type="dxa" w:w="9752"/>
        <w:tblBorders>
          <w:top w:val="single" w:color="auto" w:sz="4"/>
          <w:left w:val="single" w:color="auto" w:sz="4"/>
          <w:bottom w:val="single" w:color="auto" w:sz="4"/>
          <w:right w:val="single" w:color="auto" w:sz="4"/>
          <w:insideH w:val="single" w:color="auto" w:sz="4"/>
          <w:insideV w:val="single" w:color="auto" w:sz="4"/>
        </w:tblBorders>
      </w:tblPr>
      <w:tblGrid>
        <w:gridCol w:w="3700"/>
        <w:gridCol w:w="2350"/>
        <w:gridCol w:w="2900"/>
        <w:gridCol w:w="802"/>
      </w:tblGrid>
      <w:tr>
        <w:trPr>
          <w:tblHeader/>
        </w:trPr>
        <w:tc>
          <w:tcPr>
            <w:tcW w:type="dxa" w:w="3700"/>
            <w:tcBorders>
              <w:top w:val="none" w:color="FFFFFF" w:sz="0"/>
              <w:left w:val="none" w:color="FFFFFF" w:sz="0"/>
              <w:bottom w:val="single" w:color="1B2430" w:sz="10"/>
              <w:right w:val="none" w:color="FFFFFF" w:sz="0"/>
            </w:tcBorders>
            <w:tcMar>
              <w:top w:type="dxa" w:w="60"/>
              <w:left w:type="dxa" w:w="100"/>
              <w:bottom w:type="dxa" w:w="60"/>
              <w:right w:type="dxa" w:w="100"/>
            </w:tcMar>
            <w:vAlign w:val="top"/>
          </w:tcPr>
          <w:p>
            <w:pPr>
              <w:jc w:val="left"/>
            </w:pPr>
            <w:r>
              <w:rPr>
                <w:rFonts w:ascii="Calibri" w:cs="Calibri" w:eastAsia="Calibri" w:hAnsi="Calibri"/>
                <w:b/>
                <w:bCs/>
                <w:color w:val="4A5563"/>
                <w:sz w:val="16"/>
                <w:szCs w:val="16"/>
              </w:rPr>
              <w:t xml:space="preserve">Test</w:t>
            </w:r>
          </w:p>
        </w:tc>
        <w:tc>
          <w:tcPr>
            <w:tcW w:type="dxa" w:w="2350"/>
            <w:tcBorders>
              <w:top w:val="none" w:color="FFFFFF" w:sz="0"/>
              <w:left w:val="none" w:color="FFFFFF" w:sz="0"/>
              <w:bottom w:val="single" w:color="1B2430" w:sz="10"/>
              <w:right w:val="none" w:color="FFFFFF" w:sz="0"/>
            </w:tcBorders>
            <w:tcMar>
              <w:top w:type="dxa" w:w="60"/>
              <w:left w:type="dxa" w:w="100"/>
              <w:bottom w:type="dxa" w:w="60"/>
              <w:right w:type="dxa" w:w="100"/>
            </w:tcMar>
            <w:vAlign w:val="top"/>
          </w:tcPr>
          <w:p>
            <w:pPr>
              <w:jc w:val="left"/>
            </w:pPr>
            <w:r>
              <w:rPr>
                <w:rFonts w:ascii="Calibri" w:cs="Calibri" w:eastAsia="Calibri" w:hAnsi="Calibri"/>
                <w:b/>
                <w:bCs/>
                <w:color w:val="4A5563"/>
                <w:sz w:val="16"/>
                <w:szCs w:val="16"/>
              </w:rPr>
              <w:t xml:space="preserve">Expected</w:t>
            </w:r>
          </w:p>
        </w:tc>
        <w:tc>
          <w:tcPr>
            <w:tcW w:type="dxa" w:w="2900"/>
            <w:tcBorders>
              <w:top w:val="none" w:color="FFFFFF" w:sz="0"/>
              <w:left w:val="none" w:color="FFFFFF" w:sz="0"/>
              <w:bottom w:val="single" w:color="1B2430" w:sz="10"/>
              <w:right w:val="none" w:color="FFFFFF" w:sz="0"/>
            </w:tcBorders>
            <w:tcMar>
              <w:top w:type="dxa" w:w="60"/>
              <w:left w:type="dxa" w:w="100"/>
              <w:bottom w:type="dxa" w:w="60"/>
              <w:right w:type="dxa" w:w="100"/>
            </w:tcMar>
            <w:vAlign w:val="top"/>
          </w:tcPr>
          <w:p>
            <w:pPr>
              <w:jc w:val="left"/>
            </w:pPr>
            <w:r>
              <w:rPr>
                <w:rFonts w:ascii="Calibri" w:cs="Calibri" w:eastAsia="Calibri" w:hAnsi="Calibri"/>
                <w:b/>
                <w:bCs/>
                <w:color w:val="4A5563"/>
                <w:sz w:val="16"/>
                <w:szCs w:val="16"/>
              </w:rPr>
              <w:t xml:space="preserve">Result</w:t>
            </w:r>
          </w:p>
        </w:tc>
        <w:tc>
          <w:tcPr>
            <w:tcW w:type="dxa" w:w="802"/>
            <w:tcBorders>
              <w:top w:val="none" w:color="FFFFFF" w:sz="0"/>
              <w:left w:val="none" w:color="FFFFFF" w:sz="0"/>
              <w:bottom w:val="single" w:color="1B2430" w:sz="10"/>
              <w:right w:val="none" w:color="FFFFFF" w:sz="0"/>
            </w:tcBorders>
            <w:tcMar>
              <w:top w:type="dxa" w:w="60"/>
              <w:left w:type="dxa" w:w="100"/>
              <w:bottom w:type="dxa" w:w="60"/>
              <w:right w:type="dxa" w:w="100"/>
            </w:tcMar>
            <w:vAlign w:val="top"/>
          </w:tcPr>
          <w:p>
            <w:pPr>
              <w:jc w:val="left"/>
            </w:pPr>
          </w:p>
        </w:tc>
      </w:tr>
      <w:tr>
        <w:trPr>
          <w:cantSplit/>
        </w:trPr>
        <w:tc>
          <w:tcPr>
            <w:tcW w:type="dxa" w:w="3700"/>
            <w:tcBorders>
              <w:top w:val="none" w:color="FFFFFF" w:sz="0"/>
              <w:left w:val="none" w:color="FFFFFF" w:sz="0"/>
              <w:bottom w:val="single" w:color="DFE4EA" w:sz="4"/>
              <w:right w:val="none" w:color="FFFFFF" w:sz="0"/>
            </w:tcBorders>
            <w:tcMar>
              <w:top w:type="dxa" w:w="60"/>
              <w:left w:type="dxa" w:w="100"/>
              <w:bottom w:type="dxa" w:w="60"/>
              <w:right w:type="dxa" w:w="100"/>
            </w:tcMar>
            <w:vAlign w:val="top"/>
          </w:tcPr>
          <w:p>
            <w:pPr>
              <w:jc w:val="left"/>
            </w:pPr>
            <w:r>
              <w:rPr>
                <w:rFonts w:ascii="Calibri" w:cs="Calibri" w:eastAsia="Calibri" w:hAnsi="Calibri"/>
                <w:b w:val="false"/>
                <w:bCs w:val="false"/>
                <w:color w:val="1B2430"/>
                <w:sz w:val="16"/>
                <w:szCs w:val="16"/>
              </w:rPr>
              <w:t xml:space="preserve">Defect counter on reference loop, whorl, arch fields</w:t>
            </w:r>
          </w:p>
        </w:tc>
        <w:tc>
          <w:tcPr>
            <w:tcW w:type="dxa" w:w="2350"/>
            <w:tcBorders>
              <w:top w:val="none" w:color="FFFFFF" w:sz="0"/>
              <w:left w:val="none" w:color="FFFFFF" w:sz="0"/>
              <w:bottom w:val="single" w:color="DFE4EA" w:sz="4"/>
              <w:right w:val="none" w:color="FFFFFF" w:sz="0"/>
            </w:tcBorders>
            <w:tcMar>
              <w:top w:type="dxa" w:w="60"/>
              <w:left w:type="dxa" w:w="100"/>
              <w:bottom w:type="dxa" w:w="60"/>
              <w:right w:type="dxa" w:w="100"/>
            </w:tcMar>
            <w:vAlign w:val="top"/>
          </w:tcPr>
          <w:p>
            <w:pPr>
              <w:jc w:val="left"/>
            </w:pPr>
            <w:r>
              <w:rPr>
                <w:rFonts w:ascii="Calibri" w:cs="Calibri" w:eastAsia="Calibri" w:hAnsi="Calibri"/>
                <w:b w:val="false"/>
                <w:bCs w:val="false"/>
                <w:color w:val="1B2430"/>
                <w:sz w:val="16"/>
                <w:szCs w:val="16"/>
              </w:rPr>
              <w:t xml:space="preserve">correct ±½ counts, net index 0</w:t>
            </w:r>
          </w:p>
        </w:tc>
        <w:tc>
          <w:tcPr>
            <w:tcW w:type="dxa" w:w="2900"/>
            <w:tcBorders>
              <w:top w:val="none" w:color="FFFFFF" w:sz="0"/>
              <w:left w:val="none" w:color="FFFFFF" w:sz="0"/>
              <w:bottom w:val="single" w:color="DFE4EA" w:sz="4"/>
              <w:right w:val="none" w:color="FFFFFF" w:sz="0"/>
            </w:tcBorders>
            <w:tcMar>
              <w:top w:type="dxa" w:w="60"/>
              <w:left w:type="dxa" w:w="100"/>
              <w:bottom w:type="dxa" w:w="60"/>
              <w:right w:type="dxa" w:w="100"/>
            </w:tcMar>
            <w:vAlign w:val="top"/>
          </w:tcPr>
          <w:p>
            <w:pPr>
              <w:jc w:val="left"/>
            </w:pPr>
            <w:r>
              <w:rPr>
                <w:rFonts w:ascii="Calibri" w:cs="Calibri" w:eastAsia="Calibri" w:hAnsi="Calibri"/>
                <w:b w:val="false"/>
                <w:bCs w:val="false"/>
                <w:color w:val="1B2430"/>
                <w:sz w:val="16"/>
                <w:szCs w:val="16"/>
              </w:rPr>
              <w:t xml:space="preserve">all three exact</w:t>
            </w:r>
          </w:p>
        </w:tc>
        <w:tc>
          <w:tcPr>
            <w:tcW w:type="dxa" w:w="802"/>
            <w:tcBorders>
              <w:top w:val="none" w:color="FFFFFF" w:sz="0"/>
              <w:left w:val="none" w:color="FFFFFF" w:sz="0"/>
              <w:bottom w:val="single" w:color="DFE4EA" w:sz="4"/>
              <w:right w:val="none" w:color="FFFFFF" w:sz="0"/>
            </w:tcBorders>
            <w:tcMar>
              <w:top w:type="dxa" w:w="60"/>
              <w:left w:type="dxa" w:w="100"/>
              <w:bottom w:type="dxa" w:w="60"/>
              <w:right w:type="dxa" w:w="100"/>
            </w:tcMar>
            <w:vAlign w:val="top"/>
          </w:tcPr>
          <w:p>
            <w:pPr>
              <w:jc w:val="left"/>
            </w:pPr>
            <w:r>
              <w:rPr>
                <w:rFonts w:ascii="Calibri" w:cs="Calibri" w:eastAsia="Calibri" w:hAnsi="Calibri"/>
                <w:b/>
                <w:bCs/>
                <w:color w:val="2F7D4F"/>
                <w:sz w:val="16"/>
                <w:szCs w:val="16"/>
              </w:rPr>
              <w:t xml:space="preserve">PASS</w:t>
            </w:r>
          </w:p>
        </w:tc>
      </w:tr>
      <w:tr>
        <w:trPr>
          <w:cantSplit/>
        </w:trPr>
        <w:tc>
          <w:tcPr>
            <w:tcW w:type="dxa" w:w="3700"/>
            <w:tcBorders>
              <w:top w:val="none" w:color="FFFFFF" w:sz="0"/>
              <w:left w:val="none" w:color="FFFFFF" w:sz="0"/>
              <w:bottom w:val="single" w:color="DFE4EA" w:sz="4"/>
              <w:right w:val="none" w:color="FFFFFF" w:sz="0"/>
            </w:tcBorders>
            <w:tcMar>
              <w:top w:type="dxa" w:w="60"/>
              <w:left w:type="dxa" w:w="100"/>
              <w:bottom w:type="dxa" w:w="60"/>
              <w:right w:type="dxa" w:w="100"/>
            </w:tcMar>
            <w:vAlign w:val="top"/>
          </w:tcPr>
          <w:p>
            <w:pPr>
              <w:jc w:val="left"/>
            </w:pPr>
            <w:r>
              <w:rPr>
                <w:rFonts w:ascii="Calibri" w:cs="Calibri" w:eastAsia="Calibri" w:hAnsi="Calibri"/>
                <w:b w:val="false"/>
                <w:bCs w:val="false"/>
                <w:color w:val="1B2430"/>
                <w:sz w:val="16"/>
                <w:szCs w:val="16"/>
              </w:rPr>
              <w:t xml:space="preserve">Gradient of old vs new loss</w:t>
            </w:r>
          </w:p>
        </w:tc>
        <w:tc>
          <w:tcPr>
            <w:tcW w:type="dxa" w:w="2350"/>
            <w:tcBorders>
              <w:top w:val="none" w:color="FFFFFF" w:sz="0"/>
              <w:left w:val="none" w:color="FFFFFF" w:sz="0"/>
              <w:bottom w:val="single" w:color="DFE4EA" w:sz="4"/>
              <w:right w:val="none" w:color="FFFFFF" w:sz="0"/>
            </w:tcBorders>
            <w:tcMar>
              <w:top w:type="dxa" w:w="60"/>
              <w:left w:type="dxa" w:w="100"/>
              <w:bottom w:type="dxa" w:w="60"/>
              <w:right w:type="dxa" w:w="100"/>
            </w:tcMar>
            <w:vAlign w:val="top"/>
          </w:tcPr>
          <w:p>
            <w:pPr>
              <w:jc w:val="left"/>
            </w:pPr>
            <w:r>
              <w:rPr>
                <w:rFonts w:ascii="Calibri" w:cs="Calibri" w:eastAsia="Calibri" w:hAnsi="Calibri"/>
                <w:b w:val="false"/>
                <w:bCs w:val="false"/>
                <w:color w:val="1B2430"/>
                <w:sz w:val="16"/>
                <w:szCs w:val="16"/>
              </w:rPr>
              <w:t xml:space="preserve">old = 0, new &gt; 0</w:t>
            </w:r>
          </w:p>
        </w:tc>
        <w:tc>
          <w:tcPr>
            <w:tcW w:type="dxa" w:w="2900"/>
            <w:tcBorders>
              <w:top w:val="none" w:color="FFFFFF" w:sz="0"/>
              <w:left w:val="none" w:color="FFFFFF" w:sz="0"/>
              <w:bottom w:val="single" w:color="DFE4EA" w:sz="4"/>
              <w:right w:val="none" w:color="FFFFFF" w:sz="0"/>
            </w:tcBorders>
            <w:tcMar>
              <w:top w:type="dxa" w:w="60"/>
              <w:left w:type="dxa" w:w="100"/>
              <w:bottom w:type="dxa" w:w="60"/>
              <w:right w:type="dxa" w:w="100"/>
            </w:tcMar>
            <w:vAlign w:val="top"/>
          </w:tcPr>
          <w:p>
            <w:pPr>
              <w:jc w:val="left"/>
            </w:pPr>
            <w:r>
              <w:rPr>
                <w:rFonts w:ascii="Calibri" w:cs="Calibri" w:eastAsia="Calibri" w:hAnsi="Calibri"/>
                <w:b w:val="false"/>
                <w:bCs w:val="false"/>
                <w:color w:val="1B2430"/>
                <w:sz w:val="16"/>
                <w:szCs w:val="16"/>
              </w:rPr>
              <w:t xml:space="preserve">0.00 vs 0.44</w:t>
            </w:r>
          </w:p>
        </w:tc>
        <w:tc>
          <w:tcPr>
            <w:tcW w:type="dxa" w:w="802"/>
            <w:tcBorders>
              <w:top w:val="none" w:color="FFFFFF" w:sz="0"/>
              <w:left w:val="none" w:color="FFFFFF" w:sz="0"/>
              <w:bottom w:val="single" w:color="DFE4EA" w:sz="4"/>
              <w:right w:val="none" w:color="FFFFFF" w:sz="0"/>
            </w:tcBorders>
            <w:tcMar>
              <w:top w:type="dxa" w:w="60"/>
              <w:left w:type="dxa" w:w="100"/>
              <w:bottom w:type="dxa" w:w="60"/>
              <w:right w:type="dxa" w:w="100"/>
            </w:tcMar>
            <w:vAlign w:val="top"/>
          </w:tcPr>
          <w:p>
            <w:pPr>
              <w:jc w:val="left"/>
            </w:pPr>
            <w:r>
              <w:rPr>
                <w:rFonts w:ascii="Calibri" w:cs="Calibri" w:eastAsia="Calibri" w:hAnsi="Calibri"/>
                <w:b/>
                <w:bCs/>
                <w:color w:val="2F7D4F"/>
                <w:sz w:val="16"/>
                <w:szCs w:val="16"/>
              </w:rPr>
              <w:t xml:space="preserve">PASS</w:t>
            </w:r>
          </w:p>
        </w:tc>
      </w:tr>
      <w:tr>
        <w:trPr>
          <w:cantSplit/>
        </w:trPr>
        <w:tc>
          <w:tcPr>
            <w:tcW w:type="dxa" w:w="3700"/>
            <w:tcBorders>
              <w:top w:val="none" w:color="FFFFFF" w:sz="0"/>
              <w:left w:val="none" w:color="FFFFFF" w:sz="0"/>
              <w:bottom w:val="single" w:color="DFE4EA" w:sz="4"/>
              <w:right w:val="none" w:color="FFFFFF" w:sz="0"/>
            </w:tcBorders>
            <w:tcMar>
              <w:top w:type="dxa" w:w="60"/>
              <w:left w:type="dxa" w:w="100"/>
              <w:bottom w:type="dxa" w:w="60"/>
              <w:right w:type="dxa" w:w="100"/>
            </w:tcMar>
            <w:vAlign w:val="top"/>
          </w:tcPr>
          <w:p>
            <w:pPr>
              <w:jc w:val="left"/>
            </w:pPr>
            <w:r>
              <w:rPr>
                <w:rFonts w:ascii="Calibri" w:cs="Calibri" w:eastAsia="Calibri" w:hAnsi="Calibri"/>
                <w:b w:val="false"/>
                <w:bCs w:val="false"/>
                <w:color w:val="1B2430"/>
                <w:sz w:val="16"/>
                <w:szCs w:val="16"/>
              </w:rPr>
              <w:t xml:space="preserve">Denoise a noisy loop (37 core/delta pairs, 36 of them spurious)</w:t>
            </w:r>
          </w:p>
        </w:tc>
        <w:tc>
          <w:tcPr>
            <w:tcW w:type="dxa" w:w="2350"/>
            <w:tcBorders>
              <w:top w:val="none" w:color="FFFFFF" w:sz="0"/>
              <w:left w:val="none" w:color="FFFFFF" w:sz="0"/>
              <w:bottom w:val="single" w:color="DFE4EA" w:sz="4"/>
              <w:right w:val="none" w:color="FFFFFF" w:sz="0"/>
            </w:tcBorders>
            <w:tcMar>
              <w:top w:type="dxa" w:w="60"/>
              <w:left w:type="dxa" w:w="100"/>
              <w:bottom w:type="dxa" w:w="60"/>
              <w:right w:type="dxa" w:w="100"/>
            </w:tcMar>
            <w:vAlign w:val="top"/>
          </w:tcPr>
          <w:p>
            <w:pPr>
              <w:jc w:val="left"/>
            </w:pPr>
            <w:r>
              <w:rPr>
                <w:rFonts w:ascii="Calibri" w:cs="Calibri" w:eastAsia="Calibri" w:hAnsi="Calibri"/>
                <w:b w:val="false"/>
                <w:bCs w:val="false"/>
                <w:color w:val="1B2430"/>
                <w:sz w:val="16"/>
                <w:szCs w:val="16"/>
              </w:rPr>
              <w:t xml:space="preserve">remove spurious, keep true</w:t>
            </w:r>
          </w:p>
        </w:tc>
        <w:tc>
          <w:tcPr>
            <w:tcW w:type="dxa" w:w="2900"/>
            <w:tcBorders>
              <w:top w:val="none" w:color="FFFFFF" w:sz="0"/>
              <w:left w:val="none" w:color="FFFFFF" w:sz="0"/>
              <w:bottom w:val="single" w:color="DFE4EA" w:sz="4"/>
              <w:right w:val="none" w:color="FFFFFF" w:sz="0"/>
            </w:tcBorders>
            <w:tcMar>
              <w:top w:type="dxa" w:w="60"/>
              <w:left w:type="dxa" w:w="100"/>
              <w:bottom w:type="dxa" w:w="60"/>
              <w:right w:type="dxa" w:w="100"/>
            </w:tcMar>
            <w:vAlign w:val="top"/>
          </w:tcPr>
          <w:p>
            <w:pPr>
              <w:jc w:val="left"/>
            </w:pPr>
            <w:r>
              <w:rPr>
                <w:rFonts w:ascii="Calibri" w:cs="Calibri" w:eastAsia="Calibri" w:hAnsi="Calibri"/>
                <w:b w:val="false"/>
                <w:bCs w:val="false"/>
                <w:color w:val="1B2430"/>
                <w:sz w:val="16"/>
                <w:szCs w:val="16"/>
              </w:rPr>
              <w:t xml:space="preserve">37 → 1 pair, true sites within 1 px; old loss: 37 → 37</w:t>
            </w:r>
          </w:p>
        </w:tc>
        <w:tc>
          <w:tcPr>
            <w:tcW w:type="dxa" w:w="802"/>
            <w:tcBorders>
              <w:top w:val="none" w:color="FFFFFF" w:sz="0"/>
              <w:left w:val="none" w:color="FFFFFF" w:sz="0"/>
              <w:bottom w:val="single" w:color="DFE4EA" w:sz="4"/>
              <w:right w:val="none" w:color="FFFFFF" w:sz="0"/>
            </w:tcBorders>
            <w:tcMar>
              <w:top w:type="dxa" w:w="60"/>
              <w:left w:type="dxa" w:w="100"/>
              <w:bottom w:type="dxa" w:w="60"/>
              <w:right w:type="dxa" w:w="100"/>
            </w:tcMar>
            <w:vAlign w:val="top"/>
          </w:tcPr>
          <w:p>
            <w:pPr>
              <w:jc w:val="left"/>
            </w:pPr>
            <w:r>
              <w:rPr>
                <w:rFonts w:ascii="Calibri" w:cs="Calibri" w:eastAsia="Calibri" w:hAnsi="Calibri"/>
                <w:b/>
                <w:bCs/>
                <w:color w:val="2F7D4F"/>
                <w:sz w:val="16"/>
                <w:szCs w:val="16"/>
              </w:rPr>
              <w:t xml:space="preserve">PASS</w:t>
            </w:r>
          </w:p>
        </w:tc>
      </w:tr>
    </w:tbl>
    <w:p>
      <w:pPr>
        <w:spacing w:after="60" w:before="120"/>
        <w:jc w:val="center"/>
      </w:pPr>
      <w:r>
        <w:drawing>
          <wp:inline distT="0" distB="0" distL="0" distR="0">
            <wp:extent cx="6191250" cy="1704975"/>
            <wp:effectExtent t="0" r="0" b="0" l="0"/>
            <wp:docPr id="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6191250" cy="1704975"/>
                    </a:xfrm>
                    <a:prstGeom prst="rect">
                      <a:avLst/>
                    </a:prstGeom>
                  </pic:spPr>
                </pic:pic>
              </a:graphicData>
            </a:graphic>
          </wp:inline>
        </w:drawing>
      </w:r>
    </w:p>
    <w:p>
      <w:pPr>
        <w:spacing w:after="200"/>
      </w:pPr>
      <w:r>
        <w:rPr>
          <w:rFonts w:ascii="Calibri" w:cs="Calibri" w:eastAsia="Calibri" w:hAnsi="Calibri"/>
          <w:b/>
          <w:bCs/>
          <w:color w:val="1B2430"/>
          <w:sz w:val="17"/>
          <w:szCs w:val="17"/>
        </w:rPr>
        <w:t xml:space="preserve">Figure 3. </w:t>
      </w:r>
      <w:r>
        <w:rPr>
          <w:rFonts w:ascii="Calibri" w:cs="Calibri" w:eastAsia="Calibri" w:hAnsi="Calibri"/>
          <w:color w:val="4A5563"/>
          <w:sz w:val="17"/>
          <w:szCs w:val="17"/>
        </w:rPr>
        <w:t xml:space="preserve">Colour encodes ridge direction; ○ core, △ delta. The old loss leaves all 36 spurious pairs untouched because its gradient is zero. The new loss removes them and keeps the true core and delta.</w:t>
      </w:r>
    </w:p>
    <w:p>
      <w:pPr>
        <w:pStyle w:val="Heading2"/>
      </w:pPr>
      <w:r>
        <w:t xml:space="preserve">4.2 Wavefront PDE layer</w:t>
      </w:r>
    </w:p>
    <w:tbl>
      <w:tblPr>
        <w:tblW w:type="dxa" w:w="9752"/>
        <w:tblBorders>
          <w:top w:val="single" w:color="auto" w:sz="4"/>
          <w:left w:val="single" w:color="auto" w:sz="4"/>
          <w:bottom w:val="single" w:color="auto" w:sz="4"/>
          <w:right w:val="single" w:color="auto" w:sz="4"/>
          <w:insideH w:val="single" w:color="auto" w:sz="4"/>
          <w:insideV w:val="single" w:color="auto" w:sz="4"/>
        </w:tblBorders>
      </w:tblPr>
      <w:tblGrid>
        <w:gridCol w:w="3700"/>
        <w:gridCol w:w="2350"/>
        <w:gridCol w:w="2900"/>
        <w:gridCol w:w="802"/>
      </w:tblGrid>
      <w:tr>
        <w:trPr>
          <w:tblHeader/>
        </w:trPr>
        <w:tc>
          <w:tcPr>
            <w:tcW w:type="dxa" w:w="3700"/>
            <w:tcBorders>
              <w:top w:val="none" w:color="FFFFFF" w:sz="0"/>
              <w:left w:val="none" w:color="FFFFFF" w:sz="0"/>
              <w:bottom w:val="single" w:color="1B2430" w:sz="10"/>
              <w:right w:val="none" w:color="FFFFFF" w:sz="0"/>
            </w:tcBorders>
            <w:tcMar>
              <w:top w:type="dxa" w:w="60"/>
              <w:left w:type="dxa" w:w="100"/>
              <w:bottom w:type="dxa" w:w="60"/>
              <w:right w:type="dxa" w:w="100"/>
            </w:tcMar>
            <w:vAlign w:val="top"/>
          </w:tcPr>
          <w:p>
            <w:pPr>
              <w:jc w:val="left"/>
            </w:pPr>
            <w:r>
              <w:rPr>
                <w:rFonts w:ascii="Calibri" w:cs="Calibri" w:eastAsia="Calibri" w:hAnsi="Calibri"/>
                <w:b/>
                <w:bCs/>
                <w:color w:val="4A5563"/>
                <w:sz w:val="16"/>
                <w:szCs w:val="16"/>
              </w:rPr>
              <w:t xml:space="preserve">Test</w:t>
            </w:r>
          </w:p>
        </w:tc>
        <w:tc>
          <w:tcPr>
            <w:tcW w:type="dxa" w:w="2350"/>
            <w:tcBorders>
              <w:top w:val="none" w:color="FFFFFF" w:sz="0"/>
              <w:left w:val="none" w:color="FFFFFF" w:sz="0"/>
              <w:bottom w:val="single" w:color="1B2430" w:sz="10"/>
              <w:right w:val="none" w:color="FFFFFF" w:sz="0"/>
            </w:tcBorders>
            <w:tcMar>
              <w:top w:type="dxa" w:w="60"/>
              <w:left w:type="dxa" w:w="100"/>
              <w:bottom w:type="dxa" w:w="60"/>
              <w:right w:type="dxa" w:w="100"/>
            </w:tcMar>
            <w:vAlign w:val="top"/>
          </w:tcPr>
          <w:p>
            <w:pPr>
              <w:jc w:val="left"/>
            </w:pPr>
            <w:r>
              <w:rPr>
                <w:rFonts w:ascii="Calibri" w:cs="Calibri" w:eastAsia="Calibri" w:hAnsi="Calibri"/>
                <w:b/>
                <w:bCs/>
                <w:color w:val="4A5563"/>
                <w:sz w:val="16"/>
                <w:szCs w:val="16"/>
              </w:rPr>
              <w:t xml:space="preserve">Expected</w:t>
            </w:r>
          </w:p>
        </w:tc>
        <w:tc>
          <w:tcPr>
            <w:tcW w:type="dxa" w:w="2900"/>
            <w:tcBorders>
              <w:top w:val="none" w:color="FFFFFF" w:sz="0"/>
              <w:left w:val="none" w:color="FFFFFF" w:sz="0"/>
              <w:bottom w:val="single" w:color="1B2430" w:sz="10"/>
              <w:right w:val="none" w:color="FFFFFF" w:sz="0"/>
            </w:tcBorders>
            <w:tcMar>
              <w:top w:type="dxa" w:w="60"/>
              <w:left w:type="dxa" w:w="100"/>
              <w:bottom w:type="dxa" w:w="60"/>
              <w:right w:type="dxa" w:w="100"/>
            </w:tcMar>
            <w:vAlign w:val="top"/>
          </w:tcPr>
          <w:p>
            <w:pPr>
              <w:jc w:val="left"/>
            </w:pPr>
            <w:r>
              <w:rPr>
                <w:rFonts w:ascii="Calibri" w:cs="Calibri" w:eastAsia="Calibri" w:hAnsi="Calibri"/>
                <w:b/>
                <w:bCs/>
                <w:color w:val="4A5563"/>
                <w:sz w:val="16"/>
                <w:szCs w:val="16"/>
              </w:rPr>
              <w:t xml:space="preserve">Result</w:t>
            </w:r>
          </w:p>
        </w:tc>
        <w:tc>
          <w:tcPr>
            <w:tcW w:type="dxa" w:w="802"/>
            <w:tcBorders>
              <w:top w:val="none" w:color="FFFFFF" w:sz="0"/>
              <w:left w:val="none" w:color="FFFFFF" w:sz="0"/>
              <w:bottom w:val="single" w:color="1B2430" w:sz="10"/>
              <w:right w:val="none" w:color="FFFFFF" w:sz="0"/>
            </w:tcBorders>
            <w:tcMar>
              <w:top w:type="dxa" w:w="60"/>
              <w:left w:type="dxa" w:w="100"/>
              <w:bottom w:type="dxa" w:w="60"/>
              <w:right w:type="dxa" w:w="100"/>
            </w:tcMar>
            <w:vAlign w:val="top"/>
          </w:tcPr>
          <w:p>
            <w:pPr>
              <w:jc w:val="left"/>
            </w:pPr>
          </w:p>
        </w:tc>
      </w:tr>
      <w:tr>
        <w:trPr>
          <w:cantSplit/>
        </w:trPr>
        <w:tc>
          <w:tcPr>
            <w:tcW w:type="dxa" w:w="3700"/>
            <w:tcBorders>
              <w:top w:val="none" w:color="FFFFFF" w:sz="0"/>
              <w:left w:val="none" w:color="FFFFFF" w:sz="0"/>
              <w:bottom w:val="single" w:color="DFE4EA" w:sz="4"/>
              <w:right w:val="none" w:color="FFFFFF" w:sz="0"/>
            </w:tcBorders>
            <w:tcMar>
              <w:top w:type="dxa" w:w="60"/>
              <w:left w:type="dxa" w:w="100"/>
              <w:bottom w:type="dxa" w:w="60"/>
              <w:right w:type="dxa" w:w="100"/>
            </w:tcMar>
            <w:vAlign w:val="top"/>
          </w:tcPr>
          <w:p>
            <w:pPr>
              <w:jc w:val="left"/>
            </w:pPr>
            <w:r>
              <w:rPr>
                <w:rFonts w:ascii="Calibri" w:cs="Calibri" w:eastAsia="Calibri" w:hAnsi="Calibri"/>
                <w:b w:val="false"/>
                <w:bCs w:val="false"/>
                <w:color w:val="1B2430"/>
                <w:sz w:val="16"/>
                <w:szCs w:val="16"/>
              </w:rPr>
              <w:t xml:space="preserve">Isotropic diffusion of a point source</w:t>
            </w:r>
          </w:p>
        </w:tc>
        <w:tc>
          <w:tcPr>
            <w:tcW w:type="dxa" w:w="2350"/>
            <w:tcBorders>
              <w:top w:val="none" w:color="FFFFFF" w:sz="0"/>
              <w:left w:val="none" w:color="FFFFFF" w:sz="0"/>
              <w:bottom w:val="single" w:color="DFE4EA" w:sz="4"/>
              <w:right w:val="none" w:color="FFFFFF" w:sz="0"/>
            </w:tcBorders>
            <w:tcMar>
              <w:top w:type="dxa" w:w="60"/>
              <w:left w:type="dxa" w:w="100"/>
              <w:bottom w:type="dxa" w:w="60"/>
              <w:right w:type="dxa" w:w="100"/>
            </w:tcMar>
            <w:vAlign w:val="top"/>
          </w:tcPr>
          <w:p>
            <w:pPr>
              <w:jc w:val="left"/>
            </w:pPr>
            <w:r>
              <w:rPr>
                <w:rFonts w:ascii="Calibri" w:cs="Calibri" w:eastAsia="Calibri" w:hAnsi="Calibri"/>
                <w:b w:val="false"/>
                <w:bCs w:val="false"/>
                <w:color w:val="1B2430"/>
                <w:sz w:val="16"/>
                <w:szCs w:val="16"/>
              </w:rPr>
              <w:t xml:space="preserve">variance = 2Dt = 20.00</w:t>
            </w:r>
          </w:p>
        </w:tc>
        <w:tc>
          <w:tcPr>
            <w:tcW w:type="dxa" w:w="2900"/>
            <w:tcBorders>
              <w:top w:val="none" w:color="FFFFFF" w:sz="0"/>
              <w:left w:val="none" w:color="FFFFFF" w:sz="0"/>
              <w:bottom w:val="single" w:color="DFE4EA" w:sz="4"/>
              <w:right w:val="none" w:color="FFFFFF" w:sz="0"/>
            </w:tcBorders>
            <w:tcMar>
              <w:top w:type="dxa" w:w="60"/>
              <w:left w:type="dxa" w:w="100"/>
              <w:bottom w:type="dxa" w:w="60"/>
              <w:right w:type="dxa" w:w="100"/>
            </w:tcMar>
            <w:vAlign w:val="top"/>
          </w:tcPr>
          <w:p>
            <w:pPr>
              <w:jc w:val="left"/>
            </w:pPr>
            <w:r>
              <w:rPr>
                <w:rFonts w:ascii="Calibri" w:cs="Calibri" w:eastAsia="Calibri" w:hAnsi="Calibri"/>
                <w:b w:val="false"/>
                <w:bCs w:val="false"/>
                <w:color w:val="1B2430"/>
                <w:sz w:val="16"/>
                <w:szCs w:val="16"/>
              </w:rPr>
              <w:t xml:space="preserve">20.00 (error 0.01%)</w:t>
            </w:r>
          </w:p>
        </w:tc>
        <w:tc>
          <w:tcPr>
            <w:tcW w:type="dxa" w:w="802"/>
            <w:tcBorders>
              <w:top w:val="none" w:color="FFFFFF" w:sz="0"/>
              <w:left w:val="none" w:color="FFFFFF" w:sz="0"/>
              <w:bottom w:val="single" w:color="DFE4EA" w:sz="4"/>
              <w:right w:val="none" w:color="FFFFFF" w:sz="0"/>
            </w:tcBorders>
            <w:tcMar>
              <w:top w:type="dxa" w:w="60"/>
              <w:left w:type="dxa" w:w="100"/>
              <w:bottom w:type="dxa" w:w="60"/>
              <w:right w:type="dxa" w:w="100"/>
            </w:tcMar>
            <w:vAlign w:val="top"/>
          </w:tcPr>
          <w:p>
            <w:pPr>
              <w:jc w:val="left"/>
            </w:pPr>
            <w:r>
              <w:rPr>
                <w:rFonts w:ascii="Calibri" w:cs="Calibri" w:eastAsia="Calibri" w:hAnsi="Calibri"/>
                <w:b/>
                <w:bCs/>
                <w:color w:val="2F7D4F"/>
                <w:sz w:val="16"/>
                <w:szCs w:val="16"/>
              </w:rPr>
              <w:t xml:space="preserve">PASS</w:t>
            </w:r>
          </w:p>
        </w:tc>
      </w:tr>
      <w:tr>
        <w:trPr>
          <w:cantSplit/>
        </w:trPr>
        <w:tc>
          <w:tcPr>
            <w:tcW w:type="dxa" w:w="3700"/>
            <w:tcBorders>
              <w:top w:val="none" w:color="FFFFFF" w:sz="0"/>
              <w:left w:val="none" w:color="FFFFFF" w:sz="0"/>
              <w:bottom w:val="single" w:color="DFE4EA" w:sz="4"/>
              <w:right w:val="none" w:color="FFFFFF" w:sz="0"/>
            </w:tcBorders>
            <w:tcMar>
              <w:top w:type="dxa" w:w="60"/>
              <w:left w:type="dxa" w:w="100"/>
              <w:bottom w:type="dxa" w:w="60"/>
              <w:right w:type="dxa" w:w="100"/>
            </w:tcMar>
            <w:vAlign w:val="top"/>
          </w:tcPr>
          <w:p>
            <w:pPr>
              <w:jc w:val="left"/>
            </w:pPr>
            <w:r>
              <w:rPr>
                <w:rFonts w:ascii="Calibri" w:cs="Calibri" w:eastAsia="Calibri" w:hAnsi="Calibri"/>
                <w:b w:val="false"/>
                <w:bCs w:val="false"/>
                <w:color w:val="1B2430"/>
                <w:sz w:val="16"/>
                <w:szCs w:val="16"/>
              </w:rPr>
              <w:t xml:space="preserve">Anisotropic, d</w:t>
            </w:r>
            <w:r>
              <w:rPr>
                <w:rFonts w:ascii="Calibri" w:cs="Calibri" w:eastAsia="Calibri" w:hAnsi="Calibri"/>
                <w:b w:val="false"/>
                <w:bCs w:val="false"/>
                <w:color w:val="1B2430"/>
                <w:sz w:val="16"/>
                <w:szCs w:val="16"/>
                <w:vertAlign w:val="subscript"/>
              </w:rPr>
              <w:t xml:space="preserve">∥</w:t>
            </w:r>
            <w:r>
              <w:rPr>
                <w:rFonts w:ascii="Calibri" w:cs="Calibri" w:eastAsia="Calibri" w:hAnsi="Calibri"/>
                <w:b w:val="false"/>
                <w:bCs w:val="false"/>
                <w:color w:val="1B2430"/>
                <w:sz w:val="16"/>
                <w:szCs w:val="16"/>
              </w:rPr>
              <w:t xml:space="preserve">=1, d</w:t>
            </w:r>
            <w:r>
              <w:rPr>
                <w:rFonts w:ascii="Calibri" w:cs="Calibri" w:eastAsia="Calibri" w:hAnsi="Calibri"/>
                <w:b w:val="false"/>
                <w:bCs w:val="false"/>
                <w:color w:val="1B2430"/>
                <w:sz w:val="16"/>
                <w:szCs w:val="16"/>
                <w:vertAlign w:val="subscript"/>
              </w:rPr>
              <w:t xml:space="preserve">⊥</w:t>
            </w:r>
            <w:r>
              <w:rPr>
                <w:rFonts w:ascii="Calibri" w:cs="Calibri" w:eastAsia="Calibri" w:hAnsi="Calibri"/>
                <w:b w:val="false"/>
                <w:bCs w:val="false"/>
                <w:color w:val="1B2430"/>
                <w:sz w:val="16"/>
                <w:szCs w:val="16"/>
              </w:rPr>
              <w:t xml:space="preserve">=0.1, θ=30°</w:t>
            </w:r>
          </w:p>
        </w:tc>
        <w:tc>
          <w:tcPr>
            <w:tcW w:type="dxa" w:w="2350"/>
            <w:tcBorders>
              <w:top w:val="none" w:color="FFFFFF" w:sz="0"/>
              <w:left w:val="none" w:color="FFFFFF" w:sz="0"/>
              <w:bottom w:val="single" w:color="DFE4EA" w:sz="4"/>
              <w:right w:val="none" w:color="FFFFFF" w:sz="0"/>
            </w:tcBorders>
            <w:tcMar>
              <w:top w:type="dxa" w:w="60"/>
              <w:left w:type="dxa" w:w="100"/>
              <w:bottom w:type="dxa" w:w="60"/>
              <w:right w:type="dxa" w:w="100"/>
            </w:tcMar>
            <w:vAlign w:val="top"/>
          </w:tcPr>
          <w:p>
            <w:pPr>
              <w:jc w:val="left"/>
            </w:pPr>
            <w:r>
              <w:rPr>
                <w:rFonts w:ascii="Calibri" w:cs="Calibri" w:eastAsia="Calibri" w:hAnsi="Calibri"/>
                <w:b w:val="false"/>
                <w:bCs w:val="false"/>
                <w:color w:val="1B2430"/>
                <w:sz w:val="16"/>
                <w:szCs w:val="16"/>
              </w:rPr>
              <w:t xml:space="preserve">ratio 10, axis 30°</w:t>
            </w:r>
          </w:p>
        </w:tc>
        <w:tc>
          <w:tcPr>
            <w:tcW w:type="dxa" w:w="2900"/>
            <w:tcBorders>
              <w:top w:val="none" w:color="FFFFFF" w:sz="0"/>
              <w:left w:val="none" w:color="FFFFFF" w:sz="0"/>
              <w:bottom w:val="single" w:color="DFE4EA" w:sz="4"/>
              <w:right w:val="none" w:color="FFFFFF" w:sz="0"/>
            </w:tcBorders>
            <w:tcMar>
              <w:top w:type="dxa" w:w="60"/>
              <w:left w:type="dxa" w:w="100"/>
              <w:bottom w:type="dxa" w:w="60"/>
              <w:right w:type="dxa" w:w="100"/>
            </w:tcMar>
            <w:vAlign w:val="top"/>
          </w:tcPr>
          <w:p>
            <w:pPr>
              <w:jc w:val="left"/>
            </w:pPr>
            <w:r>
              <w:rPr>
                <w:rFonts w:ascii="Calibri" w:cs="Calibri" w:eastAsia="Calibri" w:hAnsi="Calibri"/>
                <w:b w:val="false"/>
                <w:bCs w:val="false"/>
                <w:color w:val="1B2430"/>
                <w:sz w:val="16"/>
                <w:szCs w:val="16"/>
              </w:rPr>
              <w:t xml:space="preserve">10.00, 30.0°</w:t>
            </w:r>
          </w:p>
        </w:tc>
        <w:tc>
          <w:tcPr>
            <w:tcW w:type="dxa" w:w="802"/>
            <w:tcBorders>
              <w:top w:val="none" w:color="FFFFFF" w:sz="0"/>
              <w:left w:val="none" w:color="FFFFFF" w:sz="0"/>
              <w:bottom w:val="single" w:color="DFE4EA" w:sz="4"/>
              <w:right w:val="none" w:color="FFFFFF" w:sz="0"/>
            </w:tcBorders>
            <w:tcMar>
              <w:top w:type="dxa" w:w="60"/>
              <w:left w:type="dxa" w:w="100"/>
              <w:bottom w:type="dxa" w:w="60"/>
              <w:right w:type="dxa" w:w="100"/>
            </w:tcMar>
            <w:vAlign w:val="top"/>
          </w:tcPr>
          <w:p>
            <w:pPr>
              <w:jc w:val="left"/>
            </w:pPr>
            <w:r>
              <w:rPr>
                <w:rFonts w:ascii="Calibri" w:cs="Calibri" w:eastAsia="Calibri" w:hAnsi="Calibri"/>
                <w:b/>
                <w:bCs/>
                <w:color w:val="2F7D4F"/>
                <w:sz w:val="16"/>
                <w:szCs w:val="16"/>
              </w:rPr>
              <w:t xml:space="preserve">PASS</w:t>
            </w:r>
          </w:p>
        </w:tc>
      </w:tr>
      <w:tr>
        <w:trPr>
          <w:cantSplit/>
        </w:trPr>
        <w:tc>
          <w:tcPr>
            <w:tcW w:type="dxa" w:w="3700"/>
            <w:tcBorders>
              <w:top w:val="none" w:color="FFFFFF" w:sz="0"/>
              <w:left w:val="none" w:color="FFFFFF" w:sz="0"/>
              <w:bottom w:val="single" w:color="DFE4EA" w:sz="4"/>
              <w:right w:val="none" w:color="FFFFFF" w:sz="0"/>
            </w:tcBorders>
            <w:tcMar>
              <w:top w:type="dxa" w:w="60"/>
              <w:left w:type="dxa" w:w="100"/>
              <w:bottom w:type="dxa" w:w="60"/>
              <w:right w:type="dxa" w:w="100"/>
            </w:tcMar>
            <w:vAlign w:val="top"/>
          </w:tcPr>
          <w:p>
            <w:pPr>
              <w:jc w:val="left"/>
            </w:pPr>
            <w:r>
              <w:rPr>
                <w:rFonts w:ascii="Calibri" w:cs="Calibri" w:eastAsia="Calibri" w:hAnsi="Calibri"/>
                <w:b w:val="false"/>
                <w:bCs w:val="false"/>
                <w:color w:val="1B2430"/>
                <w:sz w:val="16"/>
                <w:szCs w:val="16"/>
              </w:rPr>
              <w:t xml:space="preserve">Stability with very large D</w:t>
            </w:r>
          </w:p>
        </w:tc>
        <w:tc>
          <w:tcPr>
            <w:tcW w:type="dxa" w:w="2350"/>
            <w:tcBorders>
              <w:top w:val="none" w:color="FFFFFF" w:sz="0"/>
              <w:left w:val="none" w:color="FFFFFF" w:sz="0"/>
              <w:bottom w:val="single" w:color="DFE4EA" w:sz="4"/>
              <w:right w:val="none" w:color="FFFFFF" w:sz="0"/>
            </w:tcBorders>
            <w:tcMar>
              <w:top w:type="dxa" w:w="60"/>
              <w:left w:type="dxa" w:w="100"/>
              <w:bottom w:type="dxa" w:w="60"/>
              <w:right w:type="dxa" w:w="100"/>
            </w:tcMar>
            <w:vAlign w:val="top"/>
          </w:tcPr>
          <w:p>
            <w:pPr>
              <w:jc w:val="left"/>
            </w:pPr>
            <w:r>
              <w:rPr>
                <w:rFonts w:ascii="Calibri" w:cs="Calibri" w:eastAsia="Calibri" w:hAnsi="Calibri"/>
                <w:b w:val="false"/>
                <w:bCs w:val="false"/>
                <w:color w:val="1B2430"/>
                <w:sz w:val="16"/>
                <w:szCs w:val="16"/>
              </w:rPr>
              <w:t xml:space="preserve">bounded</w:t>
            </w:r>
          </w:p>
        </w:tc>
        <w:tc>
          <w:tcPr>
            <w:tcW w:type="dxa" w:w="2900"/>
            <w:tcBorders>
              <w:top w:val="none" w:color="FFFFFF" w:sz="0"/>
              <w:left w:val="none" w:color="FFFFFF" w:sz="0"/>
              <w:bottom w:val="single" w:color="DFE4EA" w:sz="4"/>
              <w:right w:val="none" w:color="FFFFFF" w:sz="0"/>
            </w:tcBorders>
            <w:tcMar>
              <w:top w:type="dxa" w:w="60"/>
              <w:left w:type="dxa" w:w="100"/>
              <w:bottom w:type="dxa" w:w="60"/>
              <w:right w:type="dxa" w:w="100"/>
            </w:tcMar>
            <w:vAlign w:val="top"/>
          </w:tcPr>
          <w:p>
            <w:pPr>
              <w:jc w:val="left"/>
            </w:pPr>
            <w:r>
              <w:rPr>
                <w:rFonts w:ascii="Calibri" w:cs="Calibri" w:eastAsia="Calibri" w:hAnsi="Calibri"/>
                <w:b w:val="false"/>
                <w:bCs w:val="false"/>
                <w:color w:val="1B2430"/>
                <w:sz w:val="16"/>
                <w:szCs w:val="16"/>
              </w:rPr>
              <w:t xml:space="preserve">old scheme → 10⁴⁰ then NaN; new ≈ 1.0</w:t>
            </w:r>
          </w:p>
        </w:tc>
        <w:tc>
          <w:tcPr>
            <w:tcW w:type="dxa" w:w="802"/>
            <w:tcBorders>
              <w:top w:val="none" w:color="FFFFFF" w:sz="0"/>
              <w:left w:val="none" w:color="FFFFFF" w:sz="0"/>
              <w:bottom w:val="single" w:color="DFE4EA" w:sz="4"/>
              <w:right w:val="none" w:color="FFFFFF" w:sz="0"/>
            </w:tcBorders>
            <w:tcMar>
              <w:top w:type="dxa" w:w="60"/>
              <w:left w:type="dxa" w:w="100"/>
              <w:bottom w:type="dxa" w:w="60"/>
              <w:right w:type="dxa" w:w="100"/>
            </w:tcMar>
            <w:vAlign w:val="top"/>
          </w:tcPr>
          <w:p>
            <w:pPr>
              <w:jc w:val="left"/>
            </w:pPr>
            <w:r>
              <w:rPr>
                <w:rFonts w:ascii="Calibri" w:cs="Calibri" w:eastAsia="Calibri" w:hAnsi="Calibri"/>
                <w:b/>
                <w:bCs/>
                <w:color w:val="2F7D4F"/>
                <w:sz w:val="16"/>
                <w:szCs w:val="16"/>
              </w:rPr>
              <w:t xml:space="preserve">PASS</w:t>
            </w:r>
          </w:p>
        </w:tc>
      </w:tr>
      <w:tr>
        <w:trPr>
          <w:cantSplit/>
        </w:trPr>
        <w:tc>
          <w:tcPr>
            <w:tcW w:type="dxa" w:w="3700"/>
            <w:tcBorders>
              <w:top w:val="none" w:color="FFFFFF" w:sz="0"/>
              <w:left w:val="none" w:color="FFFFFF" w:sz="0"/>
              <w:bottom w:val="single" w:color="DFE4EA" w:sz="4"/>
              <w:right w:val="none" w:color="FFFFFF" w:sz="0"/>
            </w:tcBorders>
            <w:tcMar>
              <w:top w:type="dxa" w:w="60"/>
              <w:left w:type="dxa" w:w="100"/>
              <w:bottom w:type="dxa" w:w="60"/>
              <w:right w:type="dxa" w:w="100"/>
            </w:tcMar>
            <w:vAlign w:val="top"/>
          </w:tcPr>
          <w:p>
            <w:pPr>
              <w:jc w:val="left"/>
            </w:pPr>
            <w:r>
              <w:rPr>
                <w:rFonts w:ascii="Calibri" w:cs="Calibri" w:eastAsia="Calibri" w:hAnsi="Calibri"/>
                <w:b w:val="false"/>
                <w:bCs w:val="false"/>
                <w:color w:val="1B2430"/>
                <w:sz w:val="16"/>
                <w:szCs w:val="16"/>
              </w:rPr>
              <w:t xml:space="preserve">Mass conservation, 500 steps, random θ</w:t>
            </w:r>
          </w:p>
        </w:tc>
        <w:tc>
          <w:tcPr>
            <w:tcW w:type="dxa" w:w="2350"/>
            <w:tcBorders>
              <w:top w:val="none" w:color="FFFFFF" w:sz="0"/>
              <w:left w:val="none" w:color="FFFFFF" w:sz="0"/>
              <w:bottom w:val="single" w:color="DFE4EA" w:sz="4"/>
              <w:right w:val="none" w:color="FFFFFF" w:sz="0"/>
            </w:tcBorders>
            <w:tcMar>
              <w:top w:type="dxa" w:w="60"/>
              <w:left w:type="dxa" w:w="100"/>
              <w:bottom w:type="dxa" w:w="60"/>
              <w:right w:type="dxa" w:w="100"/>
            </w:tcMar>
            <w:vAlign w:val="top"/>
          </w:tcPr>
          <w:p>
            <w:pPr>
              <w:jc w:val="left"/>
            </w:pPr>
            <w:r>
              <w:rPr>
                <w:rFonts w:ascii="Calibri" w:cs="Calibri" w:eastAsia="Calibri" w:hAnsi="Calibri"/>
                <w:b w:val="false"/>
                <w:bCs w:val="false"/>
                <w:color w:val="1B2430"/>
                <w:sz w:val="16"/>
                <w:szCs w:val="16"/>
              </w:rPr>
              <w:t xml:space="preserve">ΔΣψ ≈ 0</w:t>
            </w:r>
          </w:p>
        </w:tc>
        <w:tc>
          <w:tcPr>
            <w:tcW w:type="dxa" w:w="2900"/>
            <w:tcBorders>
              <w:top w:val="none" w:color="FFFFFF" w:sz="0"/>
              <w:left w:val="none" w:color="FFFFFF" w:sz="0"/>
              <w:bottom w:val="single" w:color="DFE4EA" w:sz="4"/>
              <w:right w:val="none" w:color="FFFFFF" w:sz="0"/>
            </w:tcBorders>
            <w:tcMar>
              <w:top w:type="dxa" w:w="60"/>
              <w:left w:type="dxa" w:w="100"/>
              <w:bottom w:type="dxa" w:w="60"/>
              <w:right w:type="dxa" w:w="100"/>
            </w:tcMar>
            <w:vAlign w:val="top"/>
          </w:tcPr>
          <w:p>
            <w:pPr>
              <w:jc w:val="left"/>
            </w:pPr>
            <w:r>
              <w:rPr>
                <w:rFonts w:ascii="Calibri" w:cs="Calibri" w:eastAsia="Calibri" w:hAnsi="Calibri"/>
                <w:b w:val="false"/>
                <w:bCs w:val="false"/>
                <w:color w:val="1B2430"/>
                <w:sz w:val="16"/>
                <w:szCs w:val="16"/>
              </w:rPr>
              <w:t xml:space="preserve">relative change 1.2×10⁻⁸</w:t>
            </w:r>
          </w:p>
        </w:tc>
        <w:tc>
          <w:tcPr>
            <w:tcW w:type="dxa" w:w="802"/>
            <w:tcBorders>
              <w:top w:val="none" w:color="FFFFFF" w:sz="0"/>
              <w:left w:val="none" w:color="FFFFFF" w:sz="0"/>
              <w:bottom w:val="single" w:color="DFE4EA" w:sz="4"/>
              <w:right w:val="none" w:color="FFFFFF" w:sz="0"/>
            </w:tcBorders>
            <w:tcMar>
              <w:top w:type="dxa" w:w="60"/>
              <w:left w:type="dxa" w:w="100"/>
              <w:bottom w:type="dxa" w:w="60"/>
              <w:right w:type="dxa" w:w="100"/>
            </w:tcMar>
            <w:vAlign w:val="top"/>
          </w:tcPr>
          <w:p>
            <w:pPr>
              <w:jc w:val="left"/>
            </w:pPr>
            <w:r>
              <w:rPr>
                <w:rFonts w:ascii="Calibri" w:cs="Calibri" w:eastAsia="Calibri" w:hAnsi="Calibri"/>
                <w:b/>
                <w:bCs/>
                <w:color w:val="2F7D4F"/>
                <w:sz w:val="16"/>
                <w:szCs w:val="16"/>
              </w:rPr>
              <w:t xml:space="preserve">PASS</w:t>
            </w:r>
          </w:p>
        </w:tc>
      </w:tr>
    </w:tbl>
    <w:p>
      <w:pPr>
        <w:spacing w:after="60" w:before="120"/>
        <w:jc w:val="center"/>
      </w:pPr>
      <w:r>
        <w:drawing>
          <wp:inline distT="0" distB="0" distL="0" distR="0">
            <wp:extent cx="6191250" cy="1895475"/>
            <wp:effectExtent t="0" r="0" b="0" l="0"/>
            <wp:docPr id="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6191250" cy="1895475"/>
                    </a:xfrm>
                    <a:prstGeom prst="rect">
                      <a:avLst/>
                    </a:prstGeom>
                  </pic:spPr>
                </pic:pic>
              </a:graphicData>
            </a:graphic>
          </wp:inline>
        </w:drawing>
      </w:r>
    </w:p>
    <w:p>
      <w:pPr>
        <w:spacing w:after="200"/>
      </w:pPr>
      <w:r>
        <w:rPr>
          <w:rFonts w:ascii="Calibri" w:cs="Calibri" w:eastAsia="Calibri" w:hAnsi="Calibri"/>
          <w:b/>
          <w:bCs/>
          <w:color w:val="1B2430"/>
          <w:sz w:val="17"/>
          <w:szCs w:val="17"/>
        </w:rPr>
        <w:t xml:space="preserve">Figure 4. </w:t>
      </w:r>
      <w:r>
        <w:rPr>
          <w:rFonts w:ascii="Calibri" w:cs="Calibri" w:eastAsia="Calibri" w:hAnsi="Calibri"/>
          <w:color w:val="4A5563"/>
          <w:sz w:val="17"/>
          <w:szCs w:val="17"/>
        </w:rPr>
        <w:t xml:space="preserve">Left: isotropic spread. Centre: anisotropic spread along the ridge direction. Right: the original scheme diverges, while the new layer stays bounded.</w:t>
      </w:r>
    </w:p>
    <w:p>
      <w:pPr>
        <w:pStyle w:val="Heading1"/>
      </w:pPr>
      <w:r>
        <w:rPr>
          <w:color w:val="7FB3C8"/>
        </w:rPr>
        <w:t xml:space="preserve">5  </w:t>
      </w:r>
      <w:r>
        <w:t xml:space="preserve">Benchmark design</w:t>
      </w:r>
    </w:p>
    <w:p>
      <w:pPr>
        <w:spacing w:after="120" w:line="288"/>
        <w:jc w:val="both"/>
      </w:pPr>
      <w:r>
        <w:t xml:space="preserve">Real fingerprint databases do not provide exact ground-truth orientation fields or singular-point locations. I therefore built a synthetic generator in the spirit of SFinGe, so that every quantity can be measured exactly.</w:t>
      </w:r>
    </w:p>
    <w:p>
      <w:pPr>
        <w:pStyle w:val="Heading2"/>
      </w:pPr>
      <w:r>
        <w:t xml:space="preserve">5.1 Synthetic fingerprints</w:t>
      </w:r>
    </w:p>
    <w:p>
      <w:pPr>
        <w:pStyle w:val="ListParagraph"/>
        <w:numPr>
          <w:ilvl w:val="0"/>
          <w:numId w:val="2"/>
        </w:numPr>
        <w:spacing w:after="60" w:line="276"/>
        <w:jc w:val="left"/>
      </w:pPr>
      <w:r>
        <w:rPr>
          <w:b/>
          <w:bCs/>
        </w:rPr>
        <w:t xml:space="preserve">Orientation fields:</w:t>
      </w:r>
      <w:r>
        <w:t xml:space="preserve"> Sherlock–Monro zero-pole model with randomly placed cores and deltas for five classes (arch, tented arch, left loop, right loop, whorl), plus random rotation (±15°) and a smooth perturbation that does not change topology.</w:t>
      </w:r>
    </w:p>
    <w:p>
      <w:pPr>
        <w:pStyle w:val="ListParagraph"/>
        <w:numPr>
          <w:ilvl w:val="0"/>
          <w:numId w:val="2"/>
        </w:numPr>
        <w:spacing w:after="60" w:line="276"/>
        <w:jc w:val="left"/>
      </w:pPr>
      <w:r>
        <w:rPr>
          <w:b/>
          <w:bCs/>
        </w:rPr>
        <w:t xml:space="preserve">Ridges:</w:t>
      </w:r>
      <w:r>
        <w:t xml:space="preserve"> rendered at 128×128 by iterative orientation-adaptive Gabor filtering (16 orientation bins, ridge period 7 px).</w:t>
      </w:r>
    </w:p>
    <w:p>
      <w:pPr>
        <w:pStyle w:val="ListParagraph"/>
        <w:numPr>
          <w:ilvl w:val="0"/>
          <w:numId w:val="2"/>
        </w:numPr>
        <w:spacing w:after="60" w:line="276"/>
        <w:jc w:val="left"/>
      </w:pPr>
      <w:r>
        <w:rPr>
          <w:b/>
          <w:bCs/>
        </w:rPr>
        <w:t xml:space="preserve">Degradations:</w:t>
      </w:r>
      <w:r>
        <w:t xml:space="preserve"> contrast loss, blur, strong Gaussian noise, one to three elliptical smudges, and a 50% chance of a partial print (a missing band at one edge). On average </w:t>
      </w:r>
      <w:r>
        <w:rPr>
          <w:b/>
          <w:bCs/>
        </w:rPr>
        <w:t xml:space="preserve">14.9%</w:t>
      </w:r>
      <w:r>
        <w:t xml:space="preserve"> of each image is occluded.</w:t>
      </w:r>
    </w:p>
    <w:p>
      <w:pPr>
        <w:pStyle w:val="ListParagraph"/>
        <w:numPr>
          <w:ilvl w:val="0"/>
          <w:numId w:val="2"/>
        </w:numPr>
        <w:spacing w:after="60" w:line="276"/>
        <w:jc w:val="left"/>
      </w:pPr>
      <w:r>
        <w:rPr>
          <w:b/>
          <w:bCs/>
        </w:rPr>
        <w:t xml:space="preserve">Input to every model:</w:t>
      </w:r>
      <w:r>
        <w:t xml:space="preserve"> the structure-tensor orientation estimate of the degraded image, its coherence, and the image itself, on a 64×64 grid.</w:t>
      </w:r>
    </w:p>
    <w:p>
      <w:pPr>
        <w:pStyle w:val="ListParagraph"/>
        <w:numPr>
          <w:ilvl w:val="0"/>
          <w:numId w:val="2"/>
        </w:numPr>
        <w:spacing w:after="60" w:line="276"/>
        <w:jc w:val="left"/>
      </w:pPr>
      <w:r>
        <w:rPr>
          <w:b/>
          <w:bCs/>
        </w:rPr>
        <w:t xml:space="preserve">Split:</w:t>
      </w:r>
      <w:r>
        <w:t xml:space="preserve"> 2,000 training and 500 test images (test classes: 100 / 95 / 100 / 103 / 102).</w:t>
      </w:r>
    </w:p>
    <w:p>
      <w:pPr>
        <w:spacing w:after="60" w:before="120"/>
        <w:jc w:val="center"/>
      </w:pPr>
      <w:r>
        <w:drawing>
          <wp:inline distT="0" distB="0" distL="0" distR="0">
            <wp:extent cx="6191250" cy="3876675"/>
            <wp:effectExtent t="0" r="0" b="0" l="0"/>
            <wp:docPr id="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6191250" cy="3876675"/>
                    </a:xfrm>
                    <a:prstGeom prst="rect">
                      <a:avLst/>
                    </a:prstGeom>
                  </pic:spPr>
                </pic:pic>
              </a:graphicData>
            </a:graphic>
          </wp:inline>
        </w:drawing>
      </w:r>
    </w:p>
    <w:p>
      <w:pPr>
        <w:spacing w:after="200"/>
      </w:pPr>
      <w:r>
        <w:rPr>
          <w:rFonts w:ascii="Calibri" w:cs="Calibri" w:eastAsia="Calibri" w:hAnsi="Calibri"/>
          <w:b/>
          <w:bCs/>
          <w:color w:val="1B2430"/>
          <w:sz w:val="17"/>
          <w:szCs w:val="17"/>
        </w:rPr>
        <w:t xml:space="preserve">Figure 5. </w:t>
      </w:r>
      <w:r>
        <w:rPr>
          <w:rFonts w:ascii="Calibri" w:cs="Calibri" w:eastAsia="Calibri" w:hAnsi="Calibri"/>
          <w:color w:val="4A5563"/>
          <w:sz w:val="17"/>
          <w:szCs w:val="17"/>
        </w:rPr>
        <w:t xml:space="preserve">One sample per class. Top: clean ridges. Middle: degraded input, with occluded areas outlined in red. Bottom: the noisy orientation estimate that models receive, with ground-truth cores (○) and deltas (△).</w:t>
      </w:r>
    </w:p>
    <w:p>
      <w:pPr>
        <w:pStyle w:val="Heading2"/>
      </w:pPr>
      <w:r>
        <w:t xml:space="preserve">5.2 Methods compared</w:t>
      </w:r>
    </w:p>
    <w:tbl>
      <w:tblPr>
        <w:tblW w:type="dxa" w:w="9752"/>
        <w:tblBorders>
          <w:top w:val="single" w:color="auto" w:sz="4"/>
          <w:left w:val="single" w:color="auto" w:sz="4"/>
          <w:bottom w:val="single" w:color="auto" w:sz="4"/>
          <w:right w:val="single" w:color="auto" w:sz="4"/>
          <w:insideH w:val="single" w:color="auto" w:sz="4"/>
          <w:insideV w:val="single" w:color="auto" w:sz="4"/>
        </w:tblBorders>
      </w:tblPr>
      <w:tblGrid>
        <w:gridCol w:w="2500"/>
        <w:gridCol w:w="5752"/>
        <w:gridCol w:w="1500"/>
      </w:tblGrid>
      <w:tr>
        <w:trPr>
          <w:tblHeader/>
        </w:trPr>
        <w:tc>
          <w:tcPr>
            <w:tcW w:type="dxa" w:w="2500"/>
            <w:tcBorders>
              <w:top w:val="none" w:color="FFFFFF" w:sz="0"/>
              <w:left w:val="none" w:color="FFFFFF" w:sz="0"/>
              <w:bottom w:val="single" w:color="1B2430" w:sz="10"/>
              <w:right w:val="none" w:color="FFFFFF" w:sz="0"/>
            </w:tcBorders>
            <w:tcMar>
              <w:top w:type="dxa" w:w="60"/>
              <w:left w:type="dxa" w:w="100"/>
              <w:bottom w:type="dxa" w:w="60"/>
              <w:right w:type="dxa" w:w="100"/>
            </w:tcMar>
            <w:vAlign w:val="top"/>
          </w:tcPr>
          <w:p>
            <w:pPr>
              <w:jc w:val="left"/>
            </w:pPr>
            <w:r>
              <w:rPr>
                <w:rFonts w:ascii="Calibri" w:cs="Calibri" w:eastAsia="Calibri" w:hAnsi="Calibri"/>
                <w:b/>
                <w:bCs/>
                <w:color w:val="4A5563"/>
                <w:sz w:val="16"/>
                <w:szCs w:val="16"/>
              </w:rPr>
              <w:t xml:space="preserve">Method</w:t>
            </w:r>
          </w:p>
        </w:tc>
        <w:tc>
          <w:tcPr>
            <w:tcW w:type="dxa" w:w="5752"/>
            <w:tcBorders>
              <w:top w:val="none" w:color="FFFFFF" w:sz="0"/>
              <w:left w:val="none" w:color="FFFFFF" w:sz="0"/>
              <w:bottom w:val="single" w:color="1B2430" w:sz="10"/>
              <w:right w:val="none" w:color="FFFFFF" w:sz="0"/>
            </w:tcBorders>
            <w:tcMar>
              <w:top w:type="dxa" w:w="60"/>
              <w:left w:type="dxa" w:w="100"/>
              <w:bottom w:type="dxa" w:w="60"/>
              <w:right w:type="dxa" w:w="100"/>
            </w:tcMar>
            <w:vAlign w:val="top"/>
          </w:tcPr>
          <w:p>
            <w:pPr>
              <w:jc w:val="left"/>
            </w:pPr>
            <w:r>
              <w:rPr>
                <w:rFonts w:ascii="Calibri" w:cs="Calibri" w:eastAsia="Calibri" w:hAnsi="Calibri"/>
                <w:b/>
                <w:bCs/>
                <w:color w:val="4A5563"/>
                <w:sz w:val="16"/>
                <w:szCs w:val="16"/>
              </w:rPr>
              <w:t xml:space="preserve">Description</w:t>
            </w:r>
          </w:p>
        </w:tc>
        <w:tc>
          <w:tcPr>
            <w:tcW w:type="dxa" w:w="1500"/>
            <w:tcBorders>
              <w:top w:val="none" w:color="FFFFFF" w:sz="0"/>
              <w:left w:val="none" w:color="FFFFFF" w:sz="0"/>
              <w:bottom w:val="single" w:color="1B2430" w:sz="10"/>
              <w:right w:val="none" w:color="FFFFFF" w:sz="0"/>
            </w:tcBorders>
            <w:tcMar>
              <w:top w:type="dxa" w:w="60"/>
              <w:left w:type="dxa" w:w="100"/>
              <w:bottom w:type="dxa" w:w="60"/>
              <w:right w:type="dxa" w:w="100"/>
            </w:tcMar>
            <w:vAlign w:val="top"/>
          </w:tcPr>
          <w:p>
            <w:pPr>
              <w:jc w:val="right"/>
            </w:pPr>
            <w:r>
              <w:rPr>
                <w:rFonts w:ascii="Calibri" w:cs="Calibri" w:eastAsia="Calibri" w:hAnsi="Calibri"/>
                <w:b/>
                <w:bCs/>
                <w:color w:val="4A5563"/>
                <w:sz w:val="16"/>
                <w:szCs w:val="16"/>
              </w:rPr>
              <w:t xml:space="preserve">Parameters</w:t>
            </w:r>
          </w:p>
        </w:tc>
      </w:tr>
      <w:tr>
        <w:trPr>
          <w:cantSplit/>
        </w:trPr>
        <w:tc>
          <w:tcPr>
            <w:tcW w:type="dxa" w:w="2500"/>
            <w:tcBorders>
              <w:top w:val="none" w:color="FFFFFF" w:sz="0"/>
              <w:left w:val="none" w:color="FFFFFF" w:sz="0"/>
              <w:bottom w:val="single" w:color="DFE4EA" w:sz="4"/>
              <w:right w:val="none" w:color="FFFFFF" w:sz="0"/>
            </w:tcBorders>
            <w:tcMar>
              <w:top w:type="dxa" w:w="60"/>
              <w:left w:type="dxa" w:w="100"/>
              <w:bottom w:type="dxa" w:w="60"/>
              <w:right w:type="dxa" w:w="100"/>
            </w:tcMar>
            <w:vAlign w:val="top"/>
          </w:tcPr>
          <w:p>
            <w:pPr>
              <w:jc w:val="left"/>
            </w:pPr>
            <w:r>
              <w:rPr>
                <w:rFonts w:ascii="Calibri" w:cs="Calibri" w:eastAsia="Calibri" w:hAnsi="Calibri"/>
                <w:b w:val="false"/>
                <w:bCs w:val="false"/>
                <w:color w:val="1B2430"/>
                <w:sz w:val="16"/>
                <w:szCs w:val="16"/>
              </w:rPr>
              <w:t xml:space="preserve">Classic</w:t>
            </w:r>
          </w:p>
        </w:tc>
        <w:tc>
          <w:tcPr>
            <w:tcW w:type="dxa" w:w="5752"/>
            <w:tcBorders>
              <w:top w:val="none" w:color="FFFFFF" w:sz="0"/>
              <w:left w:val="none" w:color="FFFFFF" w:sz="0"/>
              <w:bottom w:val="single" w:color="DFE4EA" w:sz="4"/>
              <w:right w:val="none" w:color="FFFFFF" w:sz="0"/>
            </w:tcBorders>
            <w:tcMar>
              <w:top w:type="dxa" w:w="60"/>
              <w:left w:type="dxa" w:w="100"/>
              <w:bottom w:type="dxa" w:w="60"/>
              <w:right w:type="dxa" w:w="100"/>
            </w:tcMar>
            <w:vAlign w:val="top"/>
          </w:tcPr>
          <w:p>
            <w:pPr>
              <w:jc w:val="left"/>
            </w:pPr>
            <w:r>
              <w:rPr>
                <w:rFonts w:ascii="Calibri" w:cs="Calibri" w:eastAsia="Calibri" w:hAnsi="Calibri"/>
                <w:b w:val="false"/>
                <w:bCs w:val="false"/>
                <w:color w:val="1B2430"/>
                <w:sz w:val="16"/>
                <w:szCs w:val="16"/>
              </w:rPr>
              <w:t xml:space="preserve">Gaussian smoothing of the orientation field (σ tuned on training data)</w:t>
            </w:r>
          </w:p>
        </w:tc>
        <w:tc>
          <w:tcPr>
            <w:tcW w:type="dxa" w:w="1500"/>
            <w:tcBorders>
              <w:top w:val="none" w:color="FFFFFF" w:sz="0"/>
              <w:left w:val="none" w:color="FFFFFF" w:sz="0"/>
              <w:bottom w:val="single" w:color="DFE4EA" w:sz="4"/>
              <w:right w:val="none" w:color="FFFFFF" w:sz="0"/>
            </w:tcBorders>
            <w:tcMar>
              <w:top w:type="dxa" w:w="60"/>
              <w:left w:type="dxa" w:w="100"/>
              <w:bottom w:type="dxa" w:w="60"/>
              <w:right w:type="dxa" w:w="100"/>
            </w:tcMar>
            <w:vAlign w:val="top"/>
          </w:tcPr>
          <w:p>
            <w:pPr>
              <w:jc w:val="right"/>
            </w:pPr>
            <w:r>
              <w:rPr>
                <w:rFonts w:ascii="Calibri" w:cs="Calibri" w:eastAsia="Calibri" w:hAnsi="Calibri"/>
                <w:b w:val="false"/>
                <w:bCs w:val="false"/>
                <w:color w:val="1B2430"/>
                <w:sz w:val="16"/>
                <w:szCs w:val="16"/>
              </w:rPr>
              <w:t xml:space="preserve">0</w:t>
            </w:r>
          </w:p>
        </w:tc>
      </w:tr>
      <w:tr>
        <w:trPr>
          <w:cantSplit/>
        </w:trPr>
        <w:tc>
          <w:tcPr>
            <w:tcW w:type="dxa" w:w="2500"/>
            <w:tcBorders>
              <w:top w:val="none" w:color="FFFFFF" w:sz="0"/>
              <w:left w:val="none" w:color="FFFFFF" w:sz="0"/>
              <w:bottom w:val="single" w:color="DFE4EA" w:sz="4"/>
              <w:right w:val="none" w:color="FFFFFF" w:sz="0"/>
            </w:tcBorders>
            <w:tcMar>
              <w:top w:type="dxa" w:w="60"/>
              <w:left w:type="dxa" w:w="100"/>
              <w:bottom w:type="dxa" w:w="60"/>
              <w:right w:type="dxa" w:w="100"/>
            </w:tcMar>
            <w:vAlign w:val="top"/>
          </w:tcPr>
          <w:p>
            <w:pPr>
              <w:jc w:val="left"/>
            </w:pPr>
            <w:r>
              <w:rPr>
                <w:rFonts w:ascii="Calibri" w:cs="Calibri" w:eastAsia="Calibri" w:hAnsi="Calibri"/>
                <w:b w:val="false"/>
                <w:bCs w:val="false"/>
                <w:color w:val="1B2430"/>
                <w:sz w:val="16"/>
                <w:szCs w:val="16"/>
              </w:rPr>
              <w:t xml:space="preserve">U-Net</w:t>
            </w:r>
          </w:p>
        </w:tc>
        <w:tc>
          <w:tcPr>
            <w:tcW w:type="dxa" w:w="5752"/>
            <w:tcBorders>
              <w:top w:val="none" w:color="FFFFFF" w:sz="0"/>
              <w:left w:val="none" w:color="FFFFFF" w:sz="0"/>
              <w:bottom w:val="single" w:color="DFE4EA" w:sz="4"/>
              <w:right w:val="none" w:color="FFFFFF" w:sz="0"/>
            </w:tcBorders>
            <w:tcMar>
              <w:top w:type="dxa" w:w="60"/>
              <w:left w:type="dxa" w:w="100"/>
              <w:bottom w:type="dxa" w:w="60"/>
              <w:right w:type="dxa" w:w="100"/>
            </w:tcMar>
            <w:vAlign w:val="top"/>
          </w:tcPr>
          <w:p>
            <w:pPr>
              <w:jc w:val="left"/>
            </w:pPr>
            <w:r>
              <w:rPr>
                <w:rFonts w:ascii="Calibri" w:cs="Calibri" w:eastAsia="Calibri" w:hAnsi="Calibri"/>
                <w:b w:val="false"/>
                <w:bCs w:val="false"/>
                <w:color w:val="1B2430"/>
                <w:sz w:val="16"/>
                <w:szCs w:val="16"/>
              </w:rPr>
              <w:t xml:space="preserve">Standard encoder–decoder baseline</w:t>
            </w:r>
          </w:p>
        </w:tc>
        <w:tc>
          <w:tcPr>
            <w:tcW w:type="dxa" w:w="1500"/>
            <w:tcBorders>
              <w:top w:val="none" w:color="FFFFFF" w:sz="0"/>
              <w:left w:val="none" w:color="FFFFFF" w:sz="0"/>
              <w:bottom w:val="single" w:color="DFE4EA" w:sz="4"/>
              <w:right w:val="none" w:color="FFFFFF" w:sz="0"/>
            </w:tcBorders>
            <w:tcMar>
              <w:top w:type="dxa" w:w="60"/>
              <w:left w:type="dxa" w:w="100"/>
              <w:bottom w:type="dxa" w:w="60"/>
              <w:right w:type="dxa" w:w="100"/>
            </w:tcMar>
            <w:vAlign w:val="top"/>
          </w:tcPr>
          <w:p>
            <w:pPr>
              <w:jc w:val="right"/>
            </w:pPr>
            <w:r>
              <w:rPr>
                <w:rFonts w:ascii="Calibri" w:cs="Calibri" w:eastAsia="Calibri" w:hAnsi="Calibri"/>
                <w:b w:val="false"/>
                <w:bCs w:val="false"/>
                <w:color w:val="1B2430"/>
                <w:sz w:val="16"/>
                <w:szCs w:val="16"/>
              </w:rPr>
              <w:t xml:space="preserve">118,434</w:t>
            </w:r>
          </w:p>
        </w:tc>
      </w:tr>
      <w:tr>
        <w:trPr>
          <w:cantSplit/>
        </w:trPr>
        <w:tc>
          <w:tcPr>
            <w:tcW w:type="dxa" w:w="2500"/>
            <w:tcBorders>
              <w:top w:val="none" w:color="FFFFFF" w:sz="0"/>
              <w:left w:val="none" w:color="FFFFFF" w:sz="0"/>
              <w:bottom w:val="single" w:color="DFE4EA" w:sz="4"/>
              <w:right w:val="none" w:color="FFFFFF" w:sz="0"/>
            </w:tcBorders>
            <w:tcMar>
              <w:top w:type="dxa" w:w="60"/>
              <w:left w:type="dxa" w:w="100"/>
              <w:bottom w:type="dxa" w:w="60"/>
              <w:right w:type="dxa" w:w="100"/>
            </w:tcMar>
            <w:vAlign w:val="top"/>
          </w:tcPr>
          <w:p>
            <w:pPr>
              <w:jc w:val="left"/>
            </w:pPr>
            <w:r>
              <w:rPr>
                <w:rFonts w:ascii="Calibri" w:cs="Calibri" w:eastAsia="Calibri" w:hAnsi="Calibri"/>
                <w:b w:val="false"/>
                <w:bCs w:val="false"/>
                <w:color w:val="1B2430"/>
                <w:sz w:val="16"/>
                <w:szCs w:val="16"/>
              </w:rPr>
              <w:t xml:space="preserve">U-Net + topo</w:t>
            </w:r>
          </w:p>
        </w:tc>
        <w:tc>
          <w:tcPr>
            <w:tcW w:type="dxa" w:w="5752"/>
            <w:tcBorders>
              <w:top w:val="none" w:color="FFFFFF" w:sz="0"/>
              <w:left w:val="none" w:color="FFFFFF" w:sz="0"/>
              <w:bottom w:val="single" w:color="DFE4EA" w:sz="4"/>
              <w:right w:val="none" w:color="FFFFFF" w:sz="0"/>
            </w:tcBorders>
            <w:tcMar>
              <w:top w:type="dxa" w:w="60"/>
              <w:left w:type="dxa" w:w="100"/>
              <w:bottom w:type="dxa" w:w="60"/>
              <w:right w:type="dxa" w:w="100"/>
            </w:tcMar>
            <w:vAlign w:val="top"/>
          </w:tcPr>
          <w:p>
            <w:pPr>
              <w:jc w:val="left"/>
            </w:pPr>
            <w:r>
              <w:rPr>
                <w:rFonts w:ascii="Calibri" w:cs="Calibri" w:eastAsia="Calibri" w:hAnsi="Calibri"/>
                <w:b w:val="false"/>
                <w:bCs w:val="false"/>
                <w:color w:val="1B2430"/>
                <w:sz w:val="16"/>
                <w:szCs w:val="16"/>
              </w:rPr>
              <w:t xml:space="preserve">U-Net trained with the same topological loss</w:t>
            </w:r>
          </w:p>
        </w:tc>
        <w:tc>
          <w:tcPr>
            <w:tcW w:type="dxa" w:w="1500"/>
            <w:tcBorders>
              <w:top w:val="none" w:color="FFFFFF" w:sz="0"/>
              <w:left w:val="none" w:color="FFFFFF" w:sz="0"/>
              <w:bottom w:val="single" w:color="DFE4EA" w:sz="4"/>
              <w:right w:val="none" w:color="FFFFFF" w:sz="0"/>
            </w:tcBorders>
            <w:tcMar>
              <w:top w:type="dxa" w:w="60"/>
              <w:left w:type="dxa" w:w="100"/>
              <w:bottom w:type="dxa" w:w="60"/>
              <w:right w:type="dxa" w:w="100"/>
            </w:tcMar>
            <w:vAlign w:val="top"/>
          </w:tcPr>
          <w:p>
            <w:pPr>
              <w:jc w:val="right"/>
            </w:pPr>
            <w:r>
              <w:rPr>
                <w:rFonts w:ascii="Calibri" w:cs="Calibri" w:eastAsia="Calibri" w:hAnsi="Calibri"/>
                <w:b w:val="false"/>
                <w:bCs w:val="false"/>
                <w:color w:val="1B2430"/>
                <w:sz w:val="16"/>
                <w:szCs w:val="16"/>
              </w:rPr>
              <w:t xml:space="preserve">118,434</w:t>
            </w:r>
          </w:p>
        </w:tc>
      </w:tr>
      <w:tr>
        <w:trPr>
          <w:cantSplit/>
        </w:trPr>
        <w:tc>
          <w:tcPr>
            <w:tcW w:type="dxa" w:w="2500"/>
            <w:tcBorders>
              <w:top w:val="none" w:color="FFFFFF" w:sz="0"/>
              <w:left w:val="none" w:color="FFFFFF" w:sz="0"/>
              <w:bottom w:val="single" w:color="DFE4EA" w:sz="4"/>
              <w:right w:val="none" w:color="FFFFFF" w:sz="0"/>
            </w:tcBorders>
            <w:shd w:fill="E8F2F6" w:color="auto" w:val="clear"/>
            <w:tcMar>
              <w:top w:type="dxa" w:w="60"/>
              <w:left w:type="dxa" w:w="100"/>
              <w:bottom w:type="dxa" w:w="60"/>
              <w:right w:type="dxa" w:w="100"/>
            </w:tcMar>
            <w:vAlign w:val="top"/>
          </w:tcPr>
          <w:p>
            <w:pPr>
              <w:jc w:val="left"/>
            </w:pPr>
            <w:r>
              <w:rPr>
                <w:rFonts w:ascii="Calibri" w:cs="Calibri" w:eastAsia="Calibri" w:hAnsi="Calibri"/>
                <w:b/>
                <w:bCs/>
                <w:color w:val="154F63"/>
                <w:sz w:val="16"/>
                <w:szCs w:val="16"/>
              </w:rPr>
              <w:t xml:space="preserve">FingerWave</w:t>
            </w:r>
          </w:p>
        </w:tc>
        <w:tc>
          <w:tcPr>
            <w:tcW w:type="dxa" w:w="5752"/>
            <w:tcBorders>
              <w:top w:val="none" w:color="FFFFFF" w:sz="0"/>
              <w:left w:val="none" w:color="FFFFFF" w:sz="0"/>
              <w:bottom w:val="single" w:color="DFE4EA" w:sz="4"/>
              <w:right w:val="none" w:color="FFFFFF" w:sz="0"/>
            </w:tcBorders>
            <w:shd w:fill="E8F2F6" w:color="auto" w:val="clear"/>
            <w:tcMar>
              <w:top w:type="dxa" w:w="60"/>
              <w:left w:type="dxa" w:w="100"/>
              <w:bottom w:type="dxa" w:w="60"/>
              <w:right w:type="dxa" w:w="100"/>
            </w:tcMar>
            <w:vAlign w:val="top"/>
          </w:tcPr>
          <w:p>
            <w:pPr>
              <w:jc w:val="left"/>
            </w:pPr>
            <w:r>
              <w:rPr>
                <w:rFonts w:ascii="Calibri" w:cs="Calibri" w:eastAsia="Calibri" w:hAnsi="Calibri"/>
                <w:b/>
                <w:bCs/>
                <w:color w:val="154F63"/>
                <w:sz w:val="16"/>
                <w:szCs w:val="16"/>
              </w:rPr>
              <w:t xml:space="preserve">Same U-Net as encoder + seeding + two-stage PDE + topological loss</w:t>
            </w:r>
          </w:p>
        </w:tc>
        <w:tc>
          <w:tcPr>
            <w:tcW w:type="dxa" w:w="1500"/>
            <w:tcBorders>
              <w:top w:val="none" w:color="FFFFFF" w:sz="0"/>
              <w:left w:val="none" w:color="FFFFFF" w:sz="0"/>
              <w:bottom w:val="single" w:color="DFE4EA" w:sz="4"/>
              <w:right w:val="none" w:color="FFFFFF" w:sz="0"/>
            </w:tcBorders>
            <w:shd w:fill="E8F2F6" w:color="auto" w:val="clear"/>
            <w:tcMar>
              <w:top w:type="dxa" w:w="60"/>
              <w:left w:type="dxa" w:w="100"/>
              <w:bottom w:type="dxa" w:w="60"/>
              <w:right w:type="dxa" w:w="100"/>
            </w:tcMar>
            <w:vAlign w:val="top"/>
          </w:tcPr>
          <w:p>
            <w:pPr>
              <w:jc w:val="right"/>
            </w:pPr>
            <w:r>
              <w:rPr>
                <w:rFonts w:ascii="Calibri" w:cs="Calibri" w:eastAsia="Calibri" w:hAnsi="Calibri"/>
                <w:b/>
                <w:bCs/>
                <w:color w:val="154F63"/>
                <w:sz w:val="16"/>
                <w:szCs w:val="16"/>
              </w:rPr>
              <w:t xml:space="preserve">118,463</w:t>
            </w:r>
          </w:p>
        </w:tc>
      </w:tr>
      <w:tr>
        <w:trPr>
          <w:cantSplit/>
        </w:trPr>
        <w:tc>
          <w:tcPr>
            <w:tcW w:type="dxa" w:w="2500"/>
            <w:tcBorders>
              <w:top w:val="none" w:color="FFFFFF" w:sz="0"/>
              <w:left w:val="none" w:color="FFFFFF" w:sz="0"/>
              <w:bottom w:val="single" w:color="DFE4EA" w:sz="4"/>
              <w:right w:val="none" w:color="FFFFFF" w:sz="0"/>
            </w:tcBorders>
            <w:tcMar>
              <w:top w:type="dxa" w:w="60"/>
              <w:left w:type="dxa" w:w="100"/>
              <w:bottom w:type="dxa" w:w="60"/>
              <w:right w:type="dxa" w:w="100"/>
            </w:tcMar>
            <w:vAlign w:val="top"/>
          </w:tcPr>
          <w:p>
            <w:pPr>
              <w:jc w:val="left"/>
            </w:pPr>
            <w:r>
              <w:rPr>
                <w:rFonts w:ascii="Calibri" w:cs="Calibri" w:eastAsia="Calibri" w:hAnsi="Calibri"/>
                <w:b w:val="false"/>
                <w:bCs w:val="false"/>
                <w:color w:val="4A5563"/>
                <w:sz w:val="16"/>
                <w:szCs w:val="16"/>
              </w:rPr>
              <w:t xml:space="preserve">FingerWave − seeding</w:t>
            </w:r>
          </w:p>
        </w:tc>
        <w:tc>
          <w:tcPr>
            <w:tcW w:type="dxa" w:w="5752"/>
            <w:tcBorders>
              <w:top w:val="none" w:color="FFFFFF" w:sz="0"/>
              <w:left w:val="none" w:color="FFFFFF" w:sz="0"/>
              <w:bottom w:val="single" w:color="DFE4EA" w:sz="4"/>
              <w:right w:val="none" w:color="FFFFFF" w:sz="0"/>
            </w:tcBorders>
            <w:tcMar>
              <w:top w:type="dxa" w:w="60"/>
              <w:left w:type="dxa" w:w="100"/>
              <w:bottom w:type="dxa" w:w="60"/>
              <w:right w:type="dxa" w:w="100"/>
            </w:tcMar>
            <w:vAlign w:val="top"/>
          </w:tcPr>
          <w:p>
            <w:pPr>
              <w:jc w:val="left"/>
            </w:pPr>
            <w:r>
              <w:rPr>
                <w:rFonts w:ascii="Calibri" w:cs="Calibri" w:eastAsia="Calibri" w:hAnsi="Calibri"/>
                <w:b w:val="false"/>
                <w:bCs w:val="false"/>
                <w:color w:val="4A5563"/>
                <w:sz w:val="16"/>
                <w:szCs w:val="16"/>
              </w:rPr>
              <w:t xml:space="preserve">Ablation: PDE runs without confidence forcing</w:t>
            </w:r>
          </w:p>
        </w:tc>
        <w:tc>
          <w:tcPr>
            <w:tcW w:type="dxa" w:w="1500"/>
            <w:tcBorders>
              <w:top w:val="none" w:color="FFFFFF" w:sz="0"/>
              <w:left w:val="none" w:color="FFFFFF" w:sz="0"/>
              <w:bottom w:val="single" w:color="DFE4EA" w:sz="4"/>
              <w:right w:val="none" w:color="FFFFFF" w:sz="0"/>
            </w:tcBorders>
            <w:tcMar>
              <w:top w:type="dxa" w:w="60"/>
              <w:left w:type="dxa" w:w="100"/>
              <w:bottom w:type="dxa" w:w="60"/>
              <w:right w:type="dxa" w:w="100"/>
            </w:tcMar>
            <w:vAlign w:val="top"/>
          </w:tcPr>
          <w:p>
            <w:pPr>
              <w:jc w:val="right"/>
            </w:pPr>
            <w:r>
              <w:rPr>
                <w:rFonts w:ascii="Calibri" w:cs="Calibri" w:eastAsia="Calibri" w:hAnsi="Calibri"/>
                <w:b w:val="false"/>
                <w:bCs w:val="false"/>
                <w:color w:val="4A5563"/>
                <w:sz w:val="16"/>
                <w:szCs w:val="16"/>
              </w:rPr>
              <w:t xml:space="preserve">118,463</w:t>
            </w:r>
          </w:p>
        </w:tc>
      </w:tr>
      <w:tr>
        <w:trPr>
          <w:cantSplit/>
        </w:trPr>
        <w:tc>
          <w:tcPr>
            <w:tcW w:type="dxa" w:w="2500"/>
            <w:tcBorders>
              <w:top w:val="none" w:color="FFFFFF" w:sz="0"/>
              <w:left w:val="none" w:color="FFFFFF" w:sz="0"/>
              <w:bottom w:val="single" w:color="DFE4EA" w:sz="4"/>
              <w:right w:val="none" w:color="FFFFFF" w:sz="0"/>
            </w:tcBorders>
            <w:tcMar>
              <w:top w:type="dxa" w:w="60"/>
              <w:left w:type="dxa" w:w="100"/>
              <w:bottom w:type="dxa" w:w="60"/>
              <w:right w:type="dxa" w:w="100"/>
            </w:tcMar>
            <w:vAlign w:val="top"/>
          </w:tcPr>
          <w:p>
            <w:pPr>
              <w:jc w:val="left"/>
            </w:pPr>
            <w:r>
              <w:rPr>
                <w:rFonts w:ascii="Calibri" w:cs="Calibri" w:eastAsia="Calibri" w:hAnsi="Calibri"/>
                <w:b w:val="false"/>
                <w:bCs w:val="false"/>
                <w:color w:val="4A5563"/>
                <w:sz w:val="16"/>
                <w:szCs w:val="16"/>
              </w:rPr>
              <w:t xml:space="preserve">FingerWave − anisotropy</w:t>
            </w:r>
          </w:p>
        </w:tc>
        <w:tc>
          <w:tcPr>
            <w:tcW w:type="dxa" w:w="5752"/>
            <w:tcBorders>
              <w:top w:val="none" w:color="FFFFFF" w:sz="0"/>
              <w:left w:val="none" w:color="FFFFFF" w:sz="0"/>
              <w:bottom w:val="single" w:color="DFE4EA" w:sz="4"/>
              <w:right w:val="none" w:color="FFFFFF" w:sz="0"/>
            </w:tcBorders>
            <w:tcMar>
              <w:top w:type="dxa" w:w="60"/>
              <w:left w:type="dxa" w:w="100"/>
              <w:bottom w:type="dxa" w:w="60"/>
              <w:right w:type="dxa" w:w="100"/>
            </w:tcMar>
            <w:vAlign w:val="top"/>
          </w:tcPr>
          <w:p>
            <w:pPr>
              <w:jc w:val="left"/>
            </w:pPr>
            <w:r>
              <w:rPr>
                <w:rFonts w:ascii="Calibri" w:cs="Calibri" w:eastAsia="Calibri" w:hAnsi="Calibri"/>
                <w:b w:val="false"/>
                <w:bCs w:val="false"/>
                <w:color w:val="4A5563"/>
                <w:sz w:val="16"/>
                <w:szCs w:val="16"/>
              </w:rPr>
              <w:t xml:space="preserve">Ablation: d</w:t>
            </w:r>
            <w:r>
              <w:rPr>
                <w:rFonts w:ascii="Calibri" w:cs="Calibri" w:eastAsia="Calibri" w:hAnsi="Calibri"/>
                <w:b w:val="false"/>
                <w:bCs w:val="false"/>
                <w:color w:val="4A5563"/>
                <w:sz w:val="16"/>
                <w:szCs w:val="16"/>
                <w:vertAlign w:val="subscript"/>
              </w:rPr>
              <w:t xml:space="preserve">⊥</w:t>
            </w:r>
            <w:r>
              <w:rPr>
                <w:rFonts w:ascii="Calibri" w:cs="Calibri" w:eastAsia="Calibri" w:hAnsi="Calibri"/>
                <w:b w:val="false"/>
                <w:bCs w:val="false"/>
                <w:color w:val="4A5563"/>
                <w:sz w:val="16"/>
                <w:szCs w:val="16"/>
              </w:rPr>
              <w:t xml:space="preserve"> = d</w:t>
            </w:r>
            <w:r>
              <w:rPr>
                <w:rFonts w:ascii="Calibri" w:cs="Calibri" w:eastAsia="Calibri" w:hAnsi="Calibri"/>
                <w:b w:val="false"/>
                <w:bCs w:val="false"/>
                <w:color w:val="4A5563"/>
                <w:sz w:val="16"/>
                <w:szCs w:val="16"/>
                <w:vertAlign w:val="subscript"/>
              </w:rPr>
              <w:t xml:space="preserve">∥</w:t>
            </w:r>
            <w:r>
              <w:rPr>
                <w:rFonts w:ascii="Calibri" w:cs="Calibri" w:eastAsia="Calibri" w:hAnsi="Calibri"/>
                <w:b w:val="false"/>
                <w:bCs w:val="false"/>
                <w:color w:val="4A5563"/>
                <w:sz w:val="16"/>
                <w:szCs w:val="16"/>
              </w:rPr>
              <w:t xml:space="preserve"> (isotropic diffusion)</w:t>
            </w:r>
          </w:p>
        </w:tc>
        <w:tc>
          <w:tcPr>
            <w:tcW w:type="dxa" w:w="1500"/>
            <w:tcBorders>
              <w:top w:val="none" w:color="FFFFFF" w:sz="0"/>
              <w:left w:val="none" w:color="FFFFFF" w:sz="0"/>
              <w:bottom w:val="single" w:color="DFE4EA" w:sz="4"/>
              <w:right w:val="none" w:color="FFFFFF" w:sz="0"/>
            </w:tcBorders>
            <w:tcMar>
              <w:top w:type="dxa" w:w="60"/>
              <w:left w:type="dxa" w:w="100"/>
              <w:bottom w:type="dxa" w:w="60"/>
              <w:right w:type="dxa" w:w="100"/>
            </w:tcMar>
            <w:vAlign w:val="top"/>
          </w:tcPr>
          <w:p>
            <w:pPr>
              <w:jc w:val="right"/>
            </w:pPr>
            <w:r>
              <w:rPr>
                <w:rFonts w:ascii="Calibri" w:cs="Calibri" w:eastAsia="Calibri" w:hAnsi="Calibri"/>
                <w:b w:val="false"/>
                <w:bCs w:val="false"/>
                <w:color w:val="4A5563"/>
                <w:sz w:val="16"/>
                <w:szCs w:val="16"/>
              </w:rPr>
              <w:t xml:space="preserve">118,463</w:t>
            </w:r>
          </w:p>
        </w:tc>
      </w:tr>
    </w:tbl>
    <w:p>
      <w:pPr>
        <w:pStyle w:val="Heading2"/>
      </w:pPr>
      <w:r>
        <w:t xml:space="preserve">5.3 Metrics</w:t>
      </w:r>
    </w:p>
    <w:p>
      <w:pPr>
        <w:spacing w:after="120" w:line="288"/>
        <w:jc w:val="both"/>
      </w:pPr>
      <w:r>
        <w:rPr>
          <w:b/>
          <w:bCs/>
        </w:rPr>
        <w:t xml:space="preserve">Angle error</w:t>
      </w:r>
      <w:r>
        <w:t xml:space="preserve">: mean absolute ridge-orientation error in degrees, over all pixels and over occluded pixels. </w:t>
      </w:r>
      <w:r>
        <w:rPr>
          <w:b/>
          <w:bCs/>
        </w:rPr>
        <w:t xml:space="preserve">Core/delta precision and recall</w:t>
      </w:r>
      <w:r>
        <w:t xml:space="preserve">: a detection counts as correct within 8 image pixels and with the right sign. </w:t>
      </w:r>
      <w:r>
        <w:rPr>
          <w:b/>
          <w:bCs/>
        </w:rPr>
        <w:t xml:space="preserve">Topological Error Rate (TER)</w:t>
      </w:r>
      <w:r>
        <w:t xml:space="preserve">: the fraction of test images whose number of cores or deltas is wrong. </w:t>
      </w:r>
      <w:r>
        <w:rPr>
          <w:b/>
          <w:bCs/>
        </w:rPr>
        <w:t xml:space="preserve">Class accuracy</w:t>
      </w:r>
      <w:r>
        <w:t xml:space="preserve">: arch / loop-family / whorl inferred from the recovered defect counts.</w:t>
      </w:r>
    </w:p>
    <w:p>
      <w:r>
        <w:br w:type="page"/>
      </w:r>
    </w:p>
    <w:p>
      <w:pPr>
        <w:pStyle w:val="Heading1"/>
      </w:pPr>
      <w:r>
        <w:rPr>
          <w:color w:val="7FB3C8"/>
        </w:rPr>
        <w:t xml:space="preserve">6  </w:t>
      </w:r>
      <w:r>
        <w:t xml:space="preserve">Results</w:t>
      </w:r>
    </w:p>
    <w:p>
      <w:pPr>
        <w:spacing w:after="120" w:line="288"/>
        <w:jc w:val="both"/>
      </w:pPr>
      <w:r>
        <w:t xml:space="preserve">I trained all learned methods for 10 epochs with identical settings and evaluated them on the same 500 test images. Values are mean ± standard deviation over three random seeds.</w:t>
      </w:r>
    </w:p>
    <w:tbl>
      <w:tblPr>
        <w:tblW w:type="dxa" w:w="9752"/>
        <w:tblBorders>
          <w:top w:val="single" w:color="auto" w:sz="4"/>
          <w:left w:val="single" w:color="auto" w:sz="4"/>
          <w:bottom w:val="single" w:color="auto" w:sz="4"/>
          <w:right w:val="single" w:color="auto" w:sz="4"/>
          <w:insideH w:val="single" w:color="auto" w:sz="4"/>
          <w:insideV w:val="single" w:color="auto" w:sz="4"/>
        </w:tblBorders>
      </w:tblPr>
      <w:tblGrid>
        <w:gridCol w:w="2252"/>
        <w:gridCol w:w="1300"/>
        <w:gridCol w:w="1300"/>
        <w:gridCol w:w="1150"/>
        <w:gridCol w:w="1100"/>
        <w:gridCol w:w="1350"/>
        <w:gridCol w:w="1300"/>
      </w:tblGrid>
      <w:tr>
        <w:trPr>
          <w:tblHeader/>
        </w:trPr>
        <w:tc>
          <w:tcPr>
            <w:tcW w:type="dxa" w:w="2252"/>
            <w:tcBorders>
              <w:top w:val="none" w:color="FFFFFF" w:sz="0"/>
              <w:left w:val="none" w:color="FFFFFF" w:sz="0"/>
              <w:bottom w:val="single" w:color="1B2430" w:sz="10"/>
              <w:right w:val="none" w:color="FFFFFF" w:sz="0"/>
            </w:tcBorders>
            <w:tcMar>
              <w:top w:type="dxa" w:w="60"/>
              <w:left w:type="dxa" w:w="100"/>
              <w:bottom w:type="dxa" w:w="60"/>
              <w:right w:type="dxa" w:w="100"/>
            </w:tcMar>
            <w:vAlign w:val="top"/>
          </w:tcPr>
          <w:p>
            <w:pPr>
              <w:jc w:val="left"/>
            </w:pPr>
            <w:r>
              <w:rPr>
                <w:rFonts w:ascii="Calibri" w:cs="Calibri" w:eastAsia="Calibri" w:hAnsi="Calibri"/>
                <w:b/>
                <w:bCs/>
                <w:color w:val="4A5563"/>
                <w:sz w:val="16"/>
                <w:szCs w:val="16"/>
              </w:rPr>
              <w:t xml:space="preserve">Method</w:t>
            </w:r>
          </w:p>
        </w:tc>
        <w:tc>
          <w:tcPr>
            <w:tcW w:type="dxa" w:w="1300"/>
            <w:tcBorders>
              <w:top w:val="none" w:color="FFFFFF" w:sz="0"/>
              <w:left w:val="none" w:color="FFFFFF" w:sz="0"/>
              <w:bottom w:val="single" w:color="1B2430" w:sz="10"/>
              <w:right w:val="none" w:color="FFFFFF" w:sz="0"/>
            </w:tcBorders>
            <w:tcMar>
              <w:top w:type="dxa" w:w="60"/>
              <w:left w:type="dxa" w:w="100"/>
              <w:bottom w:type="dxa" w:w="60"/>
              <w:right w:type="dxa" w:w="100"/>
            </w:tcMar>
            <w:vAlign w:val="top"/>
          </w:tcPr>
          <w:p>
            <w:pPr>
              <w:jc w:val="right"/>
            </w:pPr>
            <w:r>
              <w:rPr>
                <w:rFonts w:ascii="Calibri" w:cs="Calibri" w:eastAsia="Calibri" w:hAnsi="Calibri"/>
                <w:b/>
                <w:bCs/>
                <w:color w:val="4A5563"/>
                <w:sz w:val="16"/>
                <w:szCs w:val="16"/>
              </w:rPr>
              <w:t xml:space="preserve">Angle err (°)</w:t>
            </w:r>
          </w:p>
        </w:tc>
        <w:tc>
          <w:tcPr>
            <w:tcW w:type="dxa" w:w="1300"/>
            <w:tcBorders>
              <w:top w:val="none" w:color="FFFFFF" w:sz="0"/>
              <w:left w:val="none" w:color="FFFFFF" w:sz="0"/>
              <w:bottom w:val="single" w:color="1B2430" w:sz="10"/>
              <w:right w:val="none" w:color="FFFFFF" w:sz="0"/>
            </w:tcBorders>
            <w:tcMar>
              <w:top w:type="dxa" w:w="60"/>
              <w:left w:type="dxa" w:w="100"/>
              <w:bottom w:type="dxa" w:w="60"/>
              <w:right w:type="dxa" w:w="100"/>
            </w:tcMar>
            <w:vAlign w:val="top"/>
          </w:tcPr>
          <w:p>
            <w:pPr>
              <w:jc w:val="right"/>
            </w:pPr>
            <w:r>
              <w:rPr>
                <w:rFonts w:ascii="Calibri" w:cs="Calibri" w:eastAsia="Calibri" w:hAnsi="Calibri"/>
                <w:b/>
                <w:bCs/>
                <w:color w:val="4A5563"/>
                <w:sz w:val="16"/>
                <w:szCs w:val="16"/>
              </w:rPr>
              <w:t xml:space="preserve">Occluded (°)</w:t>
            </w:r>
          </w:p>
        </w:tc>
        <w:tc>
          <w:tcPr>
            <w:tcW w:type="dxa" w:w="1150"/>
            <w:tcBorders>
              <w:top w:val="none" w:color="FFFFFF" w:sz="0"/>
              <w:left w:val="none" w:color="FFFFFF" w:sz="0"/>
              <w:bottom w:val="single" w:color="1B2430" w:sz="10"/>
              <w:right w:val="none" w:color="FFFFFF" w:sz="0"/>
            </w:tcBorders>
            <w:tcMar>
              <w:top w:type="dxa" w:w="60"/>
              <w:left w:type="dxa" w:w="100"/>
              <w:bottom w:type="dxa" w:w="60"/>
              <w:right w:type="dxa" w:w="100"/>
            </w:tcMar>
            <w:vAlign w:val="top"/>
          </w:tcPr>
          <w:p>
            <w:pPr>
              <w:jc w:val="right"/>
            </w:pPr>
            <w:r>
              <w:rPr>
                <w:rFonts w:ascii="Calibri" w:cs="Calibri" w:eastAsia="Calibri" w:hAnsi="Calibri"/>
                <w:b/>
                <w:bCs/>
                <w:color w:val="4A5563"/>
                <w:sz w:val="16"/>
                <w:szCs w:val="16"/>
              </w:rPr>
              <w:t xml:space="preserve">Precision</w:t>
            </w:r>
          </w:p>
        </w:tc>
        <w:tc>
          <w:tcPr>
            <w:tcW w:type="dxa" w:w="1100"/>
            <w:tcBorders>
              <w:top w:val="none" w:color="FFFFFF" w:sz="0"/>
              <w:left w:val="none" w:color="FFFFFF" w:sz="0"/>
              <w:bottom w:val="single" w:color="1B2430" w:sz="10"/>
              <w:right w:val="none" w:color="FFFFFF" w:sz="0"/>
            </w:tcBorders>
            <w:tcMar>
              <w:top w:type="dxa" w:w="60"/>
              <w:left w:type="dxa" w:w="100"/>
              <w:bottom w:type="dxa" w:w="60"/>
              <w:right w:type="dxa" w:w="100"/>
            </w:tcMar>
            <w:vAlign w:val="top"/>
          </w:tcPr>
          <w:p>
            <w:pPr>
              <w:jc w:val="right"/>
            </w:pPr>
            <w:r>
              <w:rPr>
                <w:rFonts w:ascii="Calibri" w:cs="Calibri" w:eastAsia="Calibri" w:hAnsi="Calibri"/>
                <w:b/>
                <w:bCs/>
                <w:color w:val="4A5563"/>
                <w:sz w:val="16"/>
                <w:szCs w:val="16"/>
              </w:rPr>
              <w:t xml:space="preserve">Recall</w:t>
            </w:r>
          </w:p>
        </w:tc>
        <w:tc>
          <w:tcPr>
            <w:tcW w:type="dxa" w:w="1350"/>
            <w:tcBorders>
              <w:top w:val="none" w:color="FFFFFF" w:sz="0"/>
              <w:left w:val="none" w:color="FFFFFF" w:sz="0"/>
              <w:bottom w:val="single" w:color="1B2430" w:sz="10"/>
              <w:right w:val="none" w:color="FFFFFF" w:sz="0"/>
            </w:tcBorders>
            <w:tcMar>
              <w:top w:type="dxa" w:w="60"/>
              <w:left w:type="dxa" w:w="100"/>
              <w:bottom w:type="dxa" w:w="60"/>
              <w:right w:type="dxa" w:w="100"/>
            </w:tcMar>
            <w:vAlign w:val="top"/>
          </w:tcPr>
          <w:p>
            <w:pPr>
              <w:jc w:val="right"/>
            </w:pPr>
            <w:r>
              <w:rPr>
                <w:rFonts w:ascii="Calibri" w:cs="Calibri" w:eastAsia="Calibri" w:hAnsi="Calibri"/>
                <w:b/>
                <w:bCs/>
                <w:color w:val="4A5563"/>
                <w:sz w:val="16"/>
                <w:szCs w:val="16"/>
              </w:rPr>
              <w:t xml:space="preserve">TER ↓</w:t>
            </w:r>
          </w:p>
        </w:tc>
        <w:tc>
          <w:tcPr>
            <w:tcW w:type="dxa" w:w="1300"/>
            <w:tcBorders>
              <w:top w:val="none" w:color="FFFFFF" w:sz="0"/>
              <w:left w:val="none" w:color="FFFFFF" w:sz="0"/>
              <w:bottom w:val="single" w:color="1B2430" w:sz="10"/>
              <w:right w:val="none" w:color="FFFFFF" w:sz="0"/>
            </w:tcBorders>
            <w:tcMar>
              <w:top w:type="dxa" w:w="60"/>
              <w:left w:type="dxa" w:w="100"/>
              <w:bottom w:type="dxa" w:w="60"/>
              <w:right w:type="dxa" w:w="100"/>
            </w:tcMar>
            <w:vAlign w:val="top"/>
          </w:tcPr>
          <w:p>
            <w:pPr>
              <w:jc w:val="right"/>
            </w:pPr>
            <w:r>
              <w:rPr>
                <w:rFonts w:ascii="Calibri" w:cs="Calibri" w:eastAsia="Calibri" w:hAnsi="Calibri"/>
                <w:b/>
                <w:bCs/>
                <w:color w:val="4A5563"/>
                <w:sz w:val="16"/>
                <w:szCs w:val="16"/>
              </w:rPr>
              <w:t xml:space="preserve">Class acc ↑</w:t>
            </w:r>
          </w:p>
        </w:tc>
      </w:tr>
      <w:tr>
        <w:trPr>
          <w:cantSplit/>
        </w:trPr>
        <w:tc>
          <w:tcPr>
            <w:tcW w:type="dxa" w:w="2252"/>
            <w:tcBorders>
              <w:top w:val="none" w:color="FFFFFF" w:sz="0"/>
              <w:left w:val="none" w:color="FFFFFF" w:sz="0"/>
              <w:bottom w:val="single" w:color="DFE4EA" w:sz="4"/>
              <w:right w:val="none" w:color="FFFFFF" w:sz="0"/>
            </w:tcBorders>
            <w:tcMar>
              <w:top w:type="dxa" w:w="60"/>
              <w:left w:type="dxa" w:w="100"/>
              <w:bottom w:type="dxa" w:w="60"/>
              <w:right w:type="dxa" w:w="100"/>
            </w:tcMar>
            <w:vAlign w:val="top"/>
          </w:tcPr>
          <w:p>
            <w:pPr>
              <w:jc w:val="left"/>
            </w:pPr>
            <w:r>
              <w:rPr>
                <w:rFonts w:ascii="Calibri" w:cs="Calibri" w:eastAsia="Calibri" w:hAnsi="Calibri"/>
                <w:b w:val="false"/>
                <w:bCs w:val="false"/>
                <w:color w:val="1B2430"/>
                <w:sz w:val="16"/>
                <w:szCs w:val="16"/>
              </w:rPr>
              <w:t xml:space="preserve">Input (no processing)</w:t>
            </w:r>
          </w:p>
        </w:tc>
        <w:tc>
          <w:tcPr>
            <w:tcW w:type="dxa" w:w="1300"/>
            <w:tcBorders>
              <w:top w:val="none" w:color="FFFFFF" w:sz="0"/>
              <w:left w:val="none" w:color="FFFFFF" w:sz="0"/>
              <w:bottom w:val="single" w:color="DFE4EA" w:sz="4"/>
              <w:right w:val="none" w:color="FFFFFF" w:sz="0"/>
            </w:tcBorders>
            <w:tcMar>
              <w:top w:type="dxa" w:w="60"/>
              <w:left w:type="dxa" w:w="100"/>
              <w:bottom w:type="dxa" w:w="60"/>
              <w:right w:type="dxa" w:w="100"/>
            </w:tcMar>
            <w:vAlign w:val="top"/>
          </w:tcPr>
          <w:p>
            <w:pPr>
              <w:jc w:val="right"/>
            </w:pPr>
            <w:r>
              <w:rPr>
                <w:rFonts w:ascii="Calibri" w:cs="Calibri" w:eastAsia="Calibri" w:hAnsi="Calibri"/>
                <w:b w:val="false"/>
                <w:bCs w:val="false"/>
                <w:color w:val="1B2430"/>
                <w:sz w:val="16"/>
                <w:szCs w:val="16"/>
              </w:rPr>
              <w:t xml:space="preserve">18.15</w:t>
            </w:r>
          </w:p>
        </w:tc>
        <w:tc>
          <w:tcPr>
            <w:tcW w:type="dxa" w:w="1300"/>
            <w:tcBorders>
              <w:top w:val="none" w:color="FFFFFF" w:sz="0"/>
              <w:left w:val="none" w:color="FFFFFF" w:sz="0"/>
              <w:bottom w:val="single" w:color="DFE4EA" w:sz="4"/>
              <w:right w:val="none" w:color="FFFFFF" w:sz="0"/>
            </w:tcBorders>
            <w:tcMar>
              <w:top w:type="dxa" w:w="60"/>
              <w:left w:type="dxa" w:w="100"/>
              <w:bottom w:type="dxa" w:w="60"/>
              <w:right w:type="dxa" w:w="100"/>
            </w:tcMar>
            <w:vAlign w:val="top"/>
          </w:tcPr>
          <w:p>
            <w:pPr>
              <w:jc w:val="right"/>
            </w:pPr>
            <w:r>
              <w:rPr>
                <w:rFonts w:ascii="Calibri" w:cs="Calibri" w:eastAsia="Calibri" w:hAnsi="Calibri"/>
                <w:b w:val="false"/>
                <w:bCs w:val="false"/>
                <w:color w:val="1B2430"/>
                <w:sz w:val="16"/>
                <w:szCs w:val="16"/>
              </w:rPr>
              <w:t xml:space="preserve">41.12</w:t>
            </w:r>
          </w:p>
        </w:tc>
        <w:tc>
          <w:tcPr>
            <w:tcW w:type="dxa" w:w="1150"/>
            <w:tcBorders>
              <w:top w:val="none" w:color="FFFFFF" w:sz="0"/>
              <w:left w:val="none" w:color="FFFFFF" w:sz="0"/>
              <w:bottom w:val="single" w:color="DFE4EA" w:sz="4"/>
              <w:right w:val="none" w:color="FFFFFF" w:sz="0"/>
            </w:tcBorders>
            <w:tcMar>
              <w:top w:type="dxa" w:w="60"/>
              <w:left w:type="dxa" w:w="100"/>
              <w:bottom w:type="dxa" w:w="60"/>
              <w:right w:type="dxa" w:w="100"/>
            </w:tcMar>
            <w:vAlign w:val="top"/>
          </w:tcPr>
          <w:p>
            <w:pPr>
              <w:jc w:val="right"/>
            </w:pPr>
            <w:r>
              <w:rPr>
                <w:rFonts w:ascii="Calibri" w:cs="Calibri" w:eastAsia="Calibri" w:hAnsi="Calibri"/>
                <w:b w:val="false"/>
                <w:bCs w:val="false"/>
                <w:color w:val="1B2430"/>
                <w:sz w:val="16"/>
                <w:szCs w:val="16"/>
              </w:rPr>
              <w:t xml:space="preserve">0.022</w:t>
            </w:r>
          </w:p>
        </w:tc>
        <w:tc>
          <w:tcPr>
            <w:tcW w:type="dxa" w:w="1100"/>
            <w:tcBorders>
              <w:top w:val="none" w:color="FFFFFF" w:sz="0"/>
              <w:left w:val="none" w:color="FFFFFF" w:sz="0"/>
              <w:bottom w:val="single" w:color="DFE4EA" w:sz="4"/>
              <w:right w:val="none" w:color="FFFFFF" w:sz="0"/>
            </w:tcBorders>
            <w:tcMar>
              <w:top w:type="dxa" w:w="60"/>
              <w:left w:type="dxa" w:w="100"/>
              <w:bottom w:type="dxa" w:w="60"/>
              <w:right w:type="dxa" w:w="100"/>
            </w:tcMar>
            <w:vAlign w:val="top"/>
          </w:tcPr>
          <w:p>
            <w:pPr>
              <w:jc w:val="right"/>
            </w:pPr>
            <w:r>
              <w:rPr>
                <w:rFonts w:ascii="Calibri" w:cs="Calibri" w:eastAsia="Calibri" w:hAnsi="Calibri"/>
                <w:b w:val="false"/>
                <w:bCs w:val="false"/>
                <w:color w:val="1B2430"/>
                <w:sz w:val="16"/>
                <w:szCs w:val="16"/>
              </w:rPr>
              <w:t xml:space="preserve">0.954</w:t>
            </w:r>
          </w:p>
        </w:tc>
        <w:tc>
          <w:tcPr>
            <w:tcW w:type="dxa" w:w="1350"/>
            <w:tcBorders>
              <w:top w:val="none" w:color="FFFFFF" w:sz="0"/>
              <w:left w:val="none" w:color="FFFFFF" w:sz="0"/>
              <w:bottom w:val="single" w:color="DFE4EA" w:sz="4"/>
              <w:right w:val="none" w:color="FFFFFF" w:sz="0"/>
            </w:tcBorders>
            <w:tcMar>
              <w:top w:type="dxa" w:w="60"/>
              <w:left w:type="dxa" w:w="100"/>
              <w:bottom w:type="dxa" w:w="60"/>
              <w:right w:type="dxa" w:w="100"/>
            </w:tcMar>
            <w:vAlign w:val="top"/>
          </w:tcPr>
          <w:p>
            <w:pPr>
              <w:jc w:val="right"/>
            </w:pPr>
            <w:r>
              <w:rPr>
                <w:rFonts w:ascii="Calibri" w:cs="Calibri" w:eastAsia="Calibri" w:hAnsi="Calibri"/>
                <w:b w:val="false"/>
                <w:bCs w:val="false"/>
                <w:color w:val="1B2430"/>
                <w:sz w:val="16"/>
                <w:szCs w:val="16"/>
              </w:rPr>
              <w:t xml:space="preserve">100%</w:t>
            </w:r>
          </w:p>
        </w:tc>
        <w:tc>
          <w:tcPr>
            <w:tcW w:type="dxa" w:w="1300"/>
            <w:tcBorders>
              <w:top w:val="none" w:color="FFFFFF" w:sz="0"/>
              <w:left w:val="none" w:color="FFFFFF" w:sz="0"/>
              <w:bottom w:val="single" w:color="DFE4EA" w:sz="4"/>
              <w:right w:val="none" w:color="FFFFFF" w:sz="0"/>
            </w:tcBorders>
            <w:tcMar>
              <w:top w:type="dxa" w:w="60"/>
              <w:left w:type="dxa" w:w="100"/>
              <w:bottom w:type="dxa" w:w="60"/>
              <w:right w:type="dxa" w:w="100"/>
            </w:tcMar>
            <w:vAlign w:val="top"/>
          </w:tcPr>
          <w:p>
            <w:pPr>
              <w:jc w:val="right"/>
            </w:pPr>
            <w:r>
              <w:rPr>
                <w:rFonts w:ascii="Calibri" w:cs="Calibri" w:eastAsia="Calibri" w:hAnsi="Calibri"/>
                <w:b w:val="false"/>
                <w:bCs w:val="false"/>
                <w:color w:val="1B2430"/>
                <w:sz w:val="16"/>
                <w:szCs w:val="16"/>
              </w:rPr>
              <w:t xml:space="preserve">0.0%</w:t>
            </w:r>
          </w:p>
        </w:tc>
      </w:tr>
      <w:tr>
        <w:trPr>
          <w:cantSplit/>
        </w:trPr>
        <w:tc>
          <w:tcPr>
            <w:tcW w:type="dxa" w:w="2252"/>
            <w:tcBorders>
              <w:top w:val="none" w:color="FFFFFF" w:sz="0"/>
              <w:left w:val="none" w:color="FFFFFF" w:sz="0"/>
              <w:bottom w:val="single" w:color="DFE4EA" w:sz="4"/>
              <w:right w:val="none" w:color="FFFFFF" w:sz="0"/>
            </w:tcBorders>
            <w:tcMar>
              <w:top w:type="dxa" w:w="60"/>
              <w:left w:type="dxa" w:w="100"/>
              <w:bottom w:type="dxa" w:w="60"/>
              <w:right w:type="dxa" w:w="100"/>
            </w:tcMar>
            <w:vAlign w:val="top"/>
          </w:tcPr>
          <w:p>
            <w:pPr>
              <w:jc w:val="left"/>
            </w:pPr>
            <w:r>
              <w:rPr>
                <w:rFonts w:ascii="Calibri" w:cs="Calibri" w:eastAsia="Calibri" w:hAnsi="Calibri"/>
                <w:b w:val="false"/>
                <w:bCs w:val="false"/>
                <w:color w:val="1B2430"/>
                <w:sz w:val="16"/>
                <w:szCs w:val="16"/>
              </w:rPr>
              <w:t xml:space="preserve">Classic smoothing</w:t>
            </w:r>
          </w:p>
        </w:tc>
        <w:tc>
          <w:tcPr>
            <w:tcW w:type="dxa" w:w="1300"/>
            <w:tcBorders>
              <w:top w:val="none" w:color="FFFFFF" w:sz="0"/>
              <w:left w:val="none" w:color="FFFFFF" w:sz="0"/>
              <w:bottom w:val="single" w:color="DFE4EA" w:sz="4"/>
              <w:right w:val="none" w:color="FFFFFF" w:sz="0"/>
            </w:tcBorders>
            <w:tcMar>
              <w:top w:type="dxa" w:w="60"/>
              <w:left w:type="dxa" w:w="100"/>
              <w:bottom w:type="dxa" w:w="60"/>
              <w:right w:type="dxa" w:w="100"/>
            </w:tcMar>
            <w:vAlign w:val="top"/>
          </w:tcPr>
          <w:p>
            <w:pPr>
              <w:jc w:val="right"/>
            </w:pPr>
            <w:r>
              <w:rPr>
                <w:rFonts w:ascii="Calibri" w:cs="Calibri" w:eastAsia="Calibri" w:hAnsi="Calibri"/>
                <w:b w:val="false"/>
                <w:bCs w:val="false"/>
                <w:color w:val="1B2430"/>
                <w:sz w:val="16"/>
                <w:szCs w:val="16"/>
              </w:rPr>
              <w:t xml:space="preserve">8.32</w:t>
            </w:r>
          </w:p>
        </w:tc>
        <w:tc>
          <w:tcPr>
            <w:tcW w:type="dxa" w:w="1300"/>
            <w:tcBorders>
              <w:top w:val="none" w:color="FFFFFF" w:sz="0"/>
              <w:left w:val="none" w:color="FFFFFF" w:sz="0"/>
              <w:bottom w:val="single" w:color="DFE4EA" w:sz="4"/>
              <w:right w:val="none" w:color="FFFFFF" w:sz="0"/>
            </w:tcBorders>
            <w:tcMar>
              <w:top w:type="dxa" w:w="60"/>
              <w:left w:type="dxa" w:w="100"/>
              <w:bottom w:type="dxa" w:w="60"/>
              <w:right w:type="dxa" w:w="100"/>
            </w:tcMar>
            <w:vAlign w:val="top"/>
          </w:tcPr>
          <w:p>
            <w:pPr>
              <w:jc w:val="right"/>
            </w:pPr>
            <w:r>
              <w:rPr>
                <w:rFonts w:ascii="Calibri" w:cs="Calibri" w:eastAsia="Calibri" w:hAnsi="Calibri"/>
                <w:b w:val="false"/>
                <w:bCs w:val="false"/>
                <w:color w:val="1B2430"/>
                <w:sz w:val="16"/>
                <w:szCs w:val="16"/>
              </w:rPr>
              <w:t xml:space="preserve">16.98</w:t>
            </w:r>
          </w:p>
        </w:tc>
        <w:tc>
          <w:tcPr>
            <w:tcW w:type="dxa" w:w="1150"/>
            <w:tcBorders>
              <w:top w:val="none" w:color="FFFFFF" w:sz="0"/>
              <w:left w:val="none" w:color="FFFFFF" w:sz="0"/>
              <w:bottom w:val="single" w:color="DFE4EA" w:sz="4"/>
              <w:right w:val="none" w:color="FFFFFF" w:sz="0"/>
            </w:tcBorders>
            <w:tcMar>
              <w:top w:type="dxa" w:w="60"/>
              <w:left w:type="dxa" w:w="100"/>
              <w:bottom w:type="dxa" w:w="60"/>
              <w:right w:type="dxa" w:w="100"/>
            </w:tcMar>
            <w:vAlign w:val="top"/>
          </w:tcPr>
          <w:p>
            <w:pPr>
              <w:jc w:val="right"/>
            </w:pPr>
            <w:r>
              <w:rPr>
                <w:rFonts w:ascii="Calibri" w:cs="Calibri" w:eastAsia="Calibri" w:hAnsi="Calibri"/>
                <w:b w:val="false"/>
                <w:bCs w:val="false"/>
                <w:color w:val="1B2430"/>
                <w:sz w:val="16"/>
                <w:szCs w:val="16"/>
              </w:rPr>
              <w:t xml:space="preserve">0.463</w:t>
            </w:r>
          </w:p>
        </w:tc>
        <w:tc>
          <w:tcPr>
            <w:tcW w:type="dxa" w:w="1100"/>
            <w:tcBorders>
              <w:top w:val="none" w:color="FFFFFF" w:sz="0"/>
              <w:left w:val="none" w:color="FFFFFF" w:sz="0"/>
              <w:bottom w:val="single" w:color="DFE4EA" w:sz="4"/>
              <w:right w:val="none" w:color="FFFFFF" w:sz="0"/>
            </w:tcBorders>
            <w:tcMar>
              <w:top w:type="dxa" w:w="60"/>
              <w:left w:type="dxa" w:w="100"/>
              <w:bottom w:type="dxa" w:w="60"/>
              <w:right w:type="dxa" w:w="100"/>
            </w:tcMar>
            <w:vAlign w:val="top"/>
          </w:tcPr>
          <w:p>
            <w:pPr>
              <w:jc w:val="right"/>
            </w:pPr>
            <w:r>
              <w:rPr>
                <w:rFonts w:ascii="Calibri" w:cs="Calibri" w:eastAsia="Calibri" w:hAnsi="Calibri"/>
                <w:b w:val="false"/>
                <w:bCs w:val="false"/>
                <w:color w:val="1B2430"/>
                <w:sz w:val="16"/>
                <w:szCs w:val="16"/>
              </w:rPr>
              <w:t xml:space="preserve">0.400</w:t>
            </w:r>
          </w:p>
        </w:tc>
        <w:tc>
          <w:tcPr>
            <w:tcW w:type="dxa" w:w="1350"/>
            <w:tcBorders>
              <w:top w:val="none" w:color="FFFFFF" w:sz="0"/>
              <w:left w:val="none" w:color="FFFFFF" w:sz="0"/>
              <w:bottom w:val="single" w:color="DFE4EA" w:sz="4"/>
              <w:right w:val="none" w:color="FFFFFF" w:sz="0"/>
            </w:tcBorders>
            <w:tcMar>
              <w:top w:type="dxa" w:w="60"/>
              <w:left w:type="dxa" w:w="100"/>
              <w:bottom w:type="dxa" w:w="60"/>
              <w:right w:type="dxa" w:w="100"/>
            </w:tcMar>
            <w:vAlign w:val="top"/>
          </w:tcPr>
          <w:p>
            <w:pPr>
              <w:jc w:val="right"/>
            </w:pPr>
            <w:r>
              <w:rPr>
                <w:rFonts w:ascii="Calibri" w:cs="Calibri" w:eastAsia="Calibri" w:hAnsi="Calibri"/>
                <w:b w:val="false"/>
                <w:bCs w:val="false"/>
                <w:color w:val="1B2430"/>
                <w:sz w:val="16"/>
                <w:szCs w:val="16"/>
              </w:rPr>
              <w:t xml:space="preserve">44.4%</w:t>
            </w:r>
          </w:p>
        </w:tc>
        <w:tc>
          <w:tcPr>
            <w:tcW w:type="dxa" w:w="1300"/>
            <w:tcBorders>
              <w:top w:val="none" w:color="FFFFFF" w:sz="0"/>
              <w:left w:val="none" w:color="FFFFFF" w:sz="0"/>
              <w:bottom w:val="single" w:color="DFE4EA" w:sz="4"/>
              <w:right w:val="none" w:color="FFFFFF" w:sz="0"/>
            </w:tcBorders>
            <w:tcMar>
              <w:top w:type="dxa" w:w="60"/>
              <w:left w:type="dxa" w:w="100"/>
              <w:bottom w:type="dxa" w:w="60"/>
              <w:right w:type="dxa" w:w="100"/>
            </w:tcMar>
            <w:vAlign w:val="top"/>
          </w:tcPr>
          <w:p>
            <w:pPr>
              <w:jc w:val="right"/>
            </w:pPr>
            <w:r>
              <w:rPr>
                <w:rFonts w:ascii="Calibri" w:cs="Calibri" w:eastAsia="Calibri" w:hAnsi="Calibri"/>
                <w:b w:val="false"/>
                <w:bCs w:val="false"/>
                <w:color w:val="1B2430"/>
                <w:sz w:val="16"/>
                <w:szCs w:val="16"/>
              </w:rPr>
              <w:t xml:space="preserve">55.6%</w:t>
            </w:r>
          </w:p>
        </w:tc>
      </w:tr>
      <w:tr>
        <w:trPr>
          <w:cantSplit/>
        </w:trPr>
        <w:tc>
          <w:tcPr>
            <w:tcW w:type="dxa" w:w="2252"/>
            <w:tcBorders>
              <w:top w:val="none" w:color="FFFFFF" w:sz="0"/>
              <w:left w:val="none" w:color="FFFFFF" w:sz="0"/>
              <w:bottom w:val="single" w:color="DFE4EA" w:sz="4"/>
              <w:right w:val="none" w:color="FFFFFF" w:sz="0"/>
            </w:tcBorders>
            <w:tcMar>
              <w:top w:type="dxa" w:w="60"/>
              <w:left w:type="dxa" w:w="100"/>
              <w:bottom w:type="dxa" w:w="60"/>
              <w:right w:type="dxa" w:w="100"/>
            </w:tcMar>
            <w:vAlign w:val="top"/>
          </w:tcPr>
          <w:p>
            <w:pPr>
              <w:jc w:val="left"/>
            </w:pPr>
            <w:r>
              <w:rPr>
                <w:rFonts w:ascii="Calibri" w:cs="Calibri" w:eastAsia="Calibri" w:hAnsi="Calibri"/>
                <w:b w:val="false"/>
                <w:bCs w:val="false"/>
                <w:color w:val="1B2430"/>
                <w:sz w:val="16"/>
                <w:szCs w:val="16"/>
              </w:rPr>
              <w:t xml:space="preserve">U-Net</w:t>
            </w:r>
          </w:p>
        </w:tc>
        <w:tc>
          <w:tcPr>
            <w:tcW w:type="dxa" w:w="1300"/>
            <w:tcBorders>
              <w:top w:val="none" w:color="FFFFFF" w:sz="0"/>
              <w:left w:val="none" w:color="FFFFFF" w:sz="0"/>
              <w:bottom w:val="single" w:color="DFE4EA" w:sz="4"/>
              <w:right w:val="none" w:color="FFFFFF" w:sz="0"/>
            </w:tcBorders>
            <w:tcMar>
              <w:top w:type="dxa" w:w="60"/>
              <w:left w:type="dxa" w:w="100"/>
              <w:bottom w:type="dxa" w:w="60"/>
              <w:right w:type="dxa" w:w="100"/>
            </w:tcMar>
            <w:vAlign w:val="top"/>
          </w:tcPr>
          <w:p>
            <w:pPr>
              <w:jc w:val="right"/>
            </w:pPr>
            <w:r>
              <w:rPr>
                <w:rFonts w:ascii="Calibri" w:cs="Calibri" w:eastAsia="Calibri" w:hAnsi="Calibri"/>
                <w:b w:val="false"/>
                <w:bCs w:val="false"/>
                <w:color w:val="1B2430"/>
                <w:sz w:val="16"/>
                <w:szCs w:val="16"/>
              </w:rPr>
              <w:t xml:space="preserve">4.79 ± 0.02</w:t>
            </w:r>
          </w:p>
        </w:tc>
        <w:tc>
          <w:tcPr>
            <w:tcW w:type="dxa" w:w="1300"/>
            <w:tcBorders>
              <w:top w:val="none" w:color="FFFFFF" w:sz="0"/>
              <w:left w:val="none" w:color="FFFFFF" w:sz="0"/>
              <w:bottom w:val="single" w:color="DFE4EA" w:sz="4"/>
              <w:right w:val="none" w:color="FFFFFF" w:sz="0"/>
            </w:tcBorders>
            <w:tcMar>
              <w:top w:type="dxa" w:w="60"/>
              <w:left w:type="dxa" w:w="100"/>
              <w:bottom w:type="dxa" w:w="60"/>
              <w:right w:type="dxa" w:w="100"/>
            </w:tcMar>
            <w:vAlign w:val="top"/>
          </w:tcPr>
          <w:p>
            <w:pPr>
              <w:jc w:val="right"/>
            </w:pPr>
            <w:r>
              <w:rPr>
                <w:rFonts w:ascii="Calibri" w:cs="Calibri" w:eastAsia="Calibri" w:hAnsi="Calibri"/>
                <w:b w:val="false"/>
                <w:bCs w:val="false"/>
                <w:color w:val="1B2430"/>
                <w:sz w:val="16"/>
                <w:szCs w:val="16"/>
              </w:rPr>
              <w:t xml:space="preserve">7.66 ± 0.08</w:t>
            </w:r>
          </w:p>
        </w:tc>
        <w:tc>
          <w:tcPr>
            <w:tcW w:type="dxa" w:w="1150"/>
            <w:tcBorders>
              <w:top w:val="none" w:color="FFFFFF" w:sz="0"/>
              <w:left w:val="none" w:color="FFFFFF" w:sz="0"/>
              <w:bottom w:val="single" w:color="DFE4EA" w:sz="4"/>
              <w:right w:val="none" w:color="FFFFFF" w:sz="0"/>
            </w:tcBorders>
            <w:tcMar>
              <w:top w:type="dxa" w:w="60"/>
              <w:left w:type="dxa" w:w="100"/>
              <w:bottom w:type="dxa" w:w="60"/>
              <w:right w:type="dxa" w:w="100"/>
            </w:tcMar>
            <w:vAlign w:val="top"/>
          </w:tcPr>
          <w:p>
            <w:pPr>
              <w:jc w:val="right"/>
            </w:pPr>
            <w:r>
              <w:rPr>
                <w:rFonts w:ascii="Calibri" w:cs="Calibri" w:eastAsia="Calibri" w:hAnsi="Calibri"/>
                <w:b w:val="false"/>
                <w:bCs w:val="false"/>
                <w:color w:val="1B2430"/>
                <w:sz w:val="16"/>
                <w:szCs w:val="16"/>
              </w:rPr>
              <w:t xml:space="preserve">0.930</w:t>
            </w:r>
          </w:p>
        </w:tc>
        <w:tc>
          <w:tcPr>
            <w:tcW w:type="dxa" w:w="1100"/>
            <w:tcBorders>
              <w:top w:val="none" w:color="FFFFFF" w:sz="0"/>
              <w:left w:val="none" w:color="FFFFFF" w:sz="0"/>
              <w:bottom w:val="single" w:color="DFE4EA" w:sz="4"/>
              <w:right w:val="none" w:color="FFFFFF" w:sz="0"/>
            </w:tcBorders>
            <w:tcMar>
              <w:top w:type="dxa" w:w="60"/>
              <w:left w:type="dxa" w:w="100"/>
              <w:bottom w:type="dxa" w:w="60"/>
              <w:right w:type="dxa" w:w="100"/>
            </w:tcMar>
            <w:vAlign w:val="top"/>
          </w:tcPr>
          <w:p>
            <w:pPr>
              <w:jc w:val="right"/>
            </w:pPr>
            <w:r>
              <w:rPr>
                <w:rFonts w:ascii="Calibri" w:cs="Calibri" w:eastAsia="Calibri" w:hAnsi="Calibri"/>
                <w:b w:val="false"/>
                <w:bCs w:val="false"/>
                <w:color w:val="1B2430"/>
                <w:sz w:val="16"/>
                <w:szCs w:val="16"/>
              </w:rPr>
              <w:t xml:space="preserve">0.887</w:t>
            </w:r>
          </w:p>
        </w:tc>
        <w:tc>
          <w:tcPr>
            <w:tcW w:type="dxa" w:w="1350"/>
            <w:tcBorders>
              <w:top w:val="none" w:color="FFFFFF" w:sz="0"/>
              <w:left w:val="none" w:color="FFFFFF" w:sz="0"/>
              <w:bottom w:val="single" w:color="DFE4EA" w:sz="4"/>
              <w:right w:val="none" w:color="FFFFFF" w:sz="0"/>
            </w:tcBorders>
            <w:tcMar>
              <w:top w:type="dxa" w:w="60"/>
              <w:left w:type="dxa" w:w="100"/>
              <w:bottom w:type="dxa" w:w="60"/>
              <w:right w:type="dxa" w:w="100"/>
            </w:tcMar>
            <w:vAlign w:val="top"/>
          </w:tcPr>
          <w:p>
            <w:pPr>
              <w:jc w:val="right"/>
            </w:pPr>
            <w:r>
              <w:rPr>
                <w:rFonts w:ascii="Calibri" w:cs="Calibri" w:eastAsia="Calibri" w:hAnsi="Calibri"/>
                <w:b w:val="false"/>
                <w:bCs w:val="false"/>
                <w:color w:val="1B2430"/>
                <w:sz w:val="16"/>
                <w:szCs w:val="16"/>
              </w:rPr>
              <w:t xml:space="preserve">5.8 ± 1.1%</w:t>
            </w:r>
          </w:p>
        </w:tc>
        <w:tc>
          <w:tcPr>
            <w:tcW w:type="dxa" w:w="1300"/>
            <w:tcBorders>
              <w:top w:val="none" w:color="FFFFFF" w:sz="0"/>
              <w:left w:val="none" w:color="FFFFFF" w:sz="0"/>
              <w:bottom w:val="single" w:color="DFE4EA" w:sz="4"/>
              <w:right w:val="none" w:color="FFFFFF" w:sz="0"/>
            </w:tcBorders>
            <w:tcMar>
              <w:top w:type="dxa" w:w="60"/>
              <w:left w:type="dxa" w:w="100"/>
              <w:bottom w:type="dxa" w:w="60"/>
              <w:right w:type="dxa" w:w="100"/>
            </w:tcMar>
            <w:vAlign w:val="top"/>
          </w:tcPr>
          <w:p>
            <w:pPr>
              <w:jc w:val="right"/>
            </w:pPr>
            <w:r>
              <w:rPr>
                <w:rFonts w:ascii="Calibri" w:cs="Calibri" w:eastAsia="Calibri" w:hAnsi="Calibri"/>
                <w:b w:val="false"/>
                <w:bCs w:val="false"/>
                <w:color w:val="1B2430"/>
                <w:sz w:val="16"/>
                <w:szCs w:val="16"/>
              </w:rPr>
              <w:t xml:space="preserve">94.2%</w:t>
            </w:r>
          </w:p>
        </w:tc>
      </w:tr>
      <w:tr>
        <w:trPr>
          <w:cantSplit/>
        </w:trPr>
        <w:tc>
          <w:tcPr>
            <w:tcW w:type="dxa" w:w="2252"/>
            <w:tcBorders>
              <w:top w:val="none" w:color="FFFFFF" w:sz="0"/>
              <w:left w:val="none" w:color="FFFFFF" w:sz="0"/>
              <w:bottom w:val="single" w:color="DFE4EA" w:sz="4"/>
              <w:right w:val="none" w:color="FFFFFF" w:sz="0"/>
            </w:tcBorders>
            <w:tcMar>
              <w:top w:type="dxa" w:w="60"/>
              <w:left w:type="dxa" w:w="100"/>
              <w:bottom w:type="dxa" w:w="60"/>
              <w:right w:type="dxa" w:w="100"/>
            </w:tcMar>
            <w:vAlign w:val="top"/>
          </w:tcPr>
          <w:p>
            <w:pPr>
              <w:jc w:val="left"/>
            </w:pPr>
            <w:r>
              <w:rPr>
                <w:rFonts w:ascii="Calibri" w:cs="Calibri" w:eastAsia="Calibri" w:hAnsi="Calibri"/>
                <w:b w:val="false"/>
                <w:bCs w:val="false"/>
                <w:color w:val="1B2430"/>
                <w:sz w:val="16"/>
                <w:szCs w:val="16"/>
              </w:rPr>
              <w:t xml:space="preserve">U-Net + topo</w:t>
            </w:r>
          </w:p>
        </w:tc>
        <w:tc>
          <w:tcPr>
            <w:tcW w:type="dxa" w:w="1300"/>
            <w:tcBorders>
              <w:top w:val="none" w:color="FFFFFF" w:sz="0"/>
              <w:left w:val="none" w:color="FFFFFF" w:sz="0"/>
              <w:bottom w:val="single" w:color="DFE4EA" w:sz="4"/>
              <w:right w:val="none" w:color="FFFFFF" w:sz="0"/>
            </w:tcBorders>
            <w:tcMar>
              <w:top w:type="dxa" w:w="60"/>
              <w:left w:type="dxa" w:w="100"/>
              <w:bottom w:type="dxa" w:w="60"/>
              <w:right w:type="dxa" w:w="100"/>
            </w:tcMar>
            <w:vAlign w:val="top"/>
          </w:tcPr>
          <w:p>
            <w:pPr>
              <w:jc w:val="right"/>
            </w:pPr>
            <w:r>
              <w:rPr>
                <w:rFonts w:ascii="Calibri" w:cs="Calibri" w:eastAsia="Calibri" w:hAnsi="Calibri"/>
                <w:b w:val="false"/>
                <w:bCs w:val="false"/>
                <w:color w:val="1B2430"/>
                <w:sz w:val="16"/>
                <w:szCs w:val="16"/>
              </w:rPr>
              <w:t xml:space="preserve">4.75 ± 0.02</w:t>
            </w:r>
          </w:p>
        </w:tc>
        <w:tc>
          <w:tcPr>
            <w:tcW w:type="dxa" w:w="1300"/>
            <w:tcBorders>
              <w:top w:val="none" w:color="FFFFFF" w:sz="0"/>
              <w:left w:val="none" w:color="FFFFFF" w:sz="0"/>
              <w:bottom w:val="single" w:color="DFE4EA" w:sz="4"/>
              <w:right w:val="none" w:color="FFFFFF" w:sz="0"/>
            </w:tcBorders>
            <w:tcMar>
              <w:top w:type="dxa" w:w="60"/>
              <w:left w:type="dxa" w:w="100"/>
              <w:bottom w:type="dxa" w:w="60"/>
              <w:right w:type="dxa" w:w="100"/>
            </w:tcMar>
            <w:vAlign w:val="top"/>
          </w:tcPr>
          <w:p>
            <w:pPr>
              <w:jc w:val="right"/>
            </w:pPr>
            <w:r>
              <w:rPr>
                <w:rFonts w:ascii="Calibri" w:cs="Calibri" w:eastAsia="Calibri" w:hAnsi="Calibri"/>
                <w:b w:val="false"/>
                <w:bCs w:val="false"/>
                <w:color w:val="1B2430"/>
                <w:sz w:val="16"/>
                <w:szCs w:val="16"/>
              </w:rPr>
              <w:t xml:space="preserve">7.62 ± 0.03</w:t>
            </w:r>
          </w:p>
        </w:tc>
        <w:tc>
          <w:tcPr>
            <w:tcW w:type="dxa" w:w="1150"/>
            <w:tcBorders>
              <w:top w:val="none" w:color="FFFFFF" w:sz="0"/>
              <w:left w:val="none" w:color="FFFFFF" w:sz="0"/>
              <w:bottom w:val="single" w:color="DFE4EA" w:sz="4"/>
              <w:right w:val="none" w:color="FFFFFF" w:sz="0"/>
            </w:tcBorders>
            <w:tcMar>
              <w:top w:type="dxa" w:w="60"/>
              <w:left w:type="dxa" w:w="100"/>
              <w:bottom w:type="dxa" w:w="60"/>
              <w:right w:type="dxa" w:w="100"/>
            </w:tcMar>
            <w:vAlign w:val="top"/>
          </w:tcPr>
          <w:p>
            <w:pPr>
              <w:jc w:val="right"/>
            </w:pPr>
            <w:r>
              <w:rPr>
                <w:rFonts w:ascii="Calibri" w:cs="Calibri" w:eastAsia="Calibri" w:hAnsi="Calibri"/>
                <w:b w:val="false"/>
                <w:bCs w:val="false"/>
                <w:color w:val="1B2430"/>
                <w:sz w:val="16"/>
                <w:szCs w:val="16"/>
              </w:rPr>
              <w:t xml:space="preserve">0.935</w:t>
            </w:r>
          </w:p>
        </w:tc>
        <w:tc>
          <w:tcPr>
            <w:tcW w:type="dxa" w:w="1100"/>
            <w:tcBorders>
              <w:top w:val="none" w:color="FFFFFF" w:sz="0"/>
              <w:left w:val="none" w:color="FFFFFF" w:sz="0"/>
              <w:bottom w:val="single" w:color="DFE4EA" w:sz="4"/>
              <w:right w:val="none" w:color="FFFFFF" w:sz="0"/>
            </w:tcBorders>
            <w:tcMar>
              <w:top w:type="dxa" w:w="60"/>
              <w:left w:type="dxa" w:w="100"/>
              <w:bottom w:type="dxa" w:w="60"/>
              <w:right w:type="dxa" w:w="100"/>
            </w:tcMar>
            <w:vAlign w:val="top"/>
          </w:tcPr>
          <w:p>
            <w:pPr>
              <w:jc w:val="right"/>
            </w:pPr>
            <w:r>
              <w:rPr>
                <w:rFonts w:ascii="Calibri" w:cs="Calibri" w:eastAsia="Calibri" w:hAnsi="Calibri"/>
                <w:b w:val="false"/>
                <w:bCs w:val="false"/>
                <w:color w:val="1B2430"/>
                <w:sz w:val="16"/>
                <w:szCs w:val="16"/>
              </w:rPr>
              <w:t xml:space="preserve">0.896</w:t>
            </w:r>
          </w:p>
        </w:tc>
        <w:tc>
          <w:tcPr>
            <w:tcW w:type="dxa" w:w="1350"/>
            <w:tcBorders>
              <w:top w:val="none" w:color="FFFFFF" w:sz="0"/>
              <w:left w:val="none" w:color="FFFFFF" w:sz="0"/>
              <w:bottom w:val="single" w:color="DFE4EA" w:sz="4"/>
              <w:right w:val="none" w:color="FFFFFF" w:sz="0"/>
            </w:tcBorders>
            <w:tcMar>
              <w:top w:type="dxa" w:w="60"/>
              <w:left w:type="dxa" w:w="100"/>
              <w:bottom w:type="dxa" w:w="60"/>
              <w:right w:type="dxa" w:w="100"/>
            </w:tcMar>
            <w:vAlign w:val="top"/>
          </w:tcPr>
          <w:p>
            <w:pPr>
              <w:jc w:val="right"/>
            </w:pPr>
            <w:r>
              <w:rPr>
                <w:rFonts w:ascii="Calibri" w:cs="Calibri" w:eastAsia="Calibri" w:hAnsi="Calibri"/>
                <w:b w:val="false"/>
                <w:bCs w:val="false"/>
                <w:color w:val="1B2430"/>
                <w:sz w:val="16"/>
                <w:szCs w:val="16"/>
              </w:rPr>
              <w:t xml:space="preserve">5.3 ± 0.5%</w:t>
            </w:r>
          </w:p>
        </w:tc>
        <w:tc>
          <w:tcPr>
            <w:tcW w:type="dxa" w:w="1300"/>
            <w:tcBorders>
              <w:top w:val="none" w:color="FFFFFF" w:sz="0"/>
              <w:left w:val="none" w:color="FFFFFF" w:sz="0"/>
              <w:bottom w:val="single" w:color="DFE4EA" w:sz="4"/>
              <w:right w:val="none" w:color="FFFFFF" w:sz="0"/>
            </w:tcBorders>
            <w:tcMar>
              <w:top w:type="dxa" w:w="60"/>
              <w:left w:type="dxa" w:w="100"/>
              <w:bottom w:type="dxa" w:w="60"/>
              <w:right w:type="dxa" w:w="100"/>
            </w:tcMar>
            <w:vAlign w:val="top"/>
          </w:tcPr>
          <w:p>
            <w:pPr>
              <w:jc w:val="right"/>
            </w:pPr>
            <w:r>
              <w:rPr>
                <w:rFonts w:ascii="Calibri" w:cs="Calibri" w:eastAsia="Calibri" w:hAnsi="Calibri"/>
                <w:b w:val="false"/>
                <w:bCs w:val="false"/>
                <w:color w:val="1B2430"/>
                <w:sz w:val="16"/>
                <w:szCs w:val="16"/>
              </w:rPr>
              <w:t xml:space="preserve">94.7%</w:t>
            </w:r>
          </w:p>
        </w:tc>
      </w:tr>
      <w:tr>
        <w:trPr>
          <w:cantSplit/>
        </w:trPr>
        <w:tc>
          <w:tcPr>
            <w:tcW w:type="dxa" w:w="2252"/>
            <w:tcBorders>
              <w:top w:val="none" w:color="FFFFFF" w:sz="0"/>
              <w:left w:val="none" w:color="FFFFFF" w:sz="0"/>
              <w:bottom w:val="single" w:color="DFE4EA" w:sz="4"/>
              <w:right w:val="none" w:color="FFFFFF" w:sz="0"/>
            </w:tcBorders>
            <w:shd w:fill="E8F2F6" w:color="auto" w:val="clear"/>
            <w:tcMar>
              <w:top w:type="dxa" w:w="60"/>
              <w:left w:type="dxa" w:w="100"/>
              <w:bottom w:type="dxa" w:w="60"/>
              <w:right w:type="dxa" w:w="100"/>
            </w:tcMar>
            <w:vAlign w:val="top"/>
          </w:tcPr>
          <w:p>
            <w:pPr>
              <w:jc w:val="left"/>
            </w:pPr>
            <w:r>
              <w:rPr>
                <w:rFonts w:ascii="Calibri" w:cs="Calibri" w:eastAsia="Calibri" w:hAnsi="Calibri"/>
                <w:b/>
                <w:bCs/>
                <w:color w:val="154F63"/>
                <w:sz w:val="16"/>
                <w:szCs w:val="16"/>
              </w:rPr>
              <w:t xml:space="preserve">FingerWave</w:t>
            </w:r>
          </w:p>
        </w:tc>
        <w:tc>
          <w:tcPr>
            <w:tcW w:type="dxa" w:w="1300"/>
            <w:tcBorders>
              <w:top w:val="none" w:color="FFFFFF" w:sz="0"/>
              <w:left w:val="none" w:color="FFFFFF" w:sz="0"/>
              <w:bottom w:val="single" w:color="DFE4EA" w:sz="4"/>
              <w:right w:val="none" w:color="FFFFFF" w:sz="0"/>
            </w:tcBorders>
            <w:shd w:fill="E8F2F6" w:color="auto" w:val="clear"/>
            <w:tcMar>
              <w:top w:type="dxa" w:w="60"/>
              <w:left w:type="dxa" w:w="100"/>
              <w:bottom w:type="dxa" w:w="60"/>
              <w:right w:type="dxa" w:w="100"/>
            </w:tcMar>
            <w:vAlign w:val="top"/>
          </w:tcPr>
          <w:p>
            <w:pPr>
              <w:jc w:val="right"/>
            </w:pPr>
            <w:r>
              <w:rPr>
                <w:rFonts w:ascii="Calibri" w:cs="Calibri" w:eastAsia="Calibri" w:hAnsi="Calibri"/>
                <w:b/>
                <w:bCs/>
                <w:color w:val="154F63"/>
                <w:sz w:val="16"/>
                <w:szCs w:val="16"/>
              </w:rPr>
              <w:t xml:space="preserve">4.69 ± 0.03</w:t>
            </w:r>
          </w:p>
        </w:tc>
        <w:tc>
          <w:tcPr>
            <w:tcW w:type="dxa" w:w="1300"/>
            <w:tcBorders>
              <w:top w:val="none" w:color="FFFFFF" w:sz="0"/>
              <w:left w:val="none" w:color="FFFFFF" w:sz="0"/>
              <w:bottom w:val="single" w:color="DFE4EA" w:sz="4"/>
              <w:right w:val="none" w:color="FFFFFF" w:sz="0"/>
            </w:tcBorders>
            <w:shd w:fill="E8F2F6" w:color="auto" w:val="clear"/>
            <w:tcMar>
              <w:top w:type="dxa" w:w="60"/>
              <w:left w:type="dxa" w:w="100"/>
              <w:bottom w:type="dxa" w:w="60"/>
              <w:right w:type="dxa" w:w="100"/>
            </w:tcMar>
            <w:vAlign w:val="top"/>
          </w:tcPr>
          <w:p>
            <w:pPr>
              <w:jc w:val="right"/>
            </w:pPr>
            <w:r>
              <w:rPr>
                <w:rFonts w:ascii="Calibri" w:cs="Calibri" w:eastAsia="Calibri" w:hAnsi="Calibri"/>
                <w:b/>
                <w:bCs/>
                <w:color w:val="154F63"/>
                <w:sz w:val="16"/>
                <w:szCs w:val="16"/>
              </w:rPr>
              <w:t xml:space="preserve">7.36 ± 0.06</w:t>
            </w:r>
          </w:p>
        </w:tc>
        <w:tc>
          <w:tcPr>
            <w:tcW w:type="dxa" w:w="1150"/>
            <w:tcBorders>
              <w:top w:val="none" w:color="FFFFFF" w:sz="0"/>
              <w:left w:val="none" w:color="FFFFFF" w:sz="0"/>
              <w:bottom w:val="single" w:color="DFE4EA" w:sz="4"/>
              <w:right w:val="none" w:color="FFFFFF" w:sz="0"/>
            </w:tcBorders>
            <w:shd w:fill="E8F2F6" w:color="auto" w:val="clear"/>
            <w:tcMar>
              <w:top w:type="dxa" w:w="60"/>
              <w:left w:type="dxa" w:w="100"/>
              <w:bottom w:type="dxa" w:w="60"/>
              <w:right w:type="dxa" w:w="100"/>
            </w:tcMar>
            <w:vAlign w:val="top"/>
          </w:tcPr>
          <w:p>
            <w:pPr>
              <w:jc w:val="right"/>
            </w:pPr>
            <w:r>
              <w:rPr>
                <w:rFonts w:ascii="Calibri" w:cs="Calibri" w:eastAsia="Calibri" w:hAnsi="Calibri"/>
                <w:b/>
                <w:bCs/>
                <w:color w:val="154F63"/>
                <w:sz w:val="16"/>
                <w:szCs w:val="16"/>
              </w:rPr>
              <w:t xml:space="preserve">0.938</w:t>
            </w:r>
          </w:p>
        </w:tc>
        <w:tc>
          <w:tcPr>
            <w:tcW w:type="dxa" w:w="1100"/>
            <w:tcBorders>
              <w:top w:val="none" w:color="FFFFFF" w:sz="0"/>
              <w:left w:val="none" w:color="FFFFFF" w:sz="0"/>
              <w:bottom w:val="single" w:color="DFE4EA" w:sz="4"/>
              <w:right w:val="none" w:color="FFFFFF" w:sz="0"/>
            </w:tcBorders>
            <w:shd w:fill="E8F2F6" w:color="auto" w:val="clear"/>
            <w:tcMar>
              <w:top w:type="dxa" w:w="60"/>
              <w:left w:type="dxa" w:w="100"/>
              <w:bottom w:type="dxa" w:w="60"/>
              <w:right w:type="dxa" w:w="100"/>
            </w:tcMar>
            <w:vAlign w:val="top"/>
          </w:tcPr>
          <w:p>
            <w:pPr>
              <w:jc w:val="right"/>
            </w:pPr>
            <w:r>
              <w:rPr>
                <w:rFonts w:ascii="Calibri" w:cs="Calibri" w:eastAsia="Calibri" w:hAnsi="Calibri"/>
                <w:b/>
                <w:bCs/>
                <w:color w:val="154F63"/>
                <w:sz w:val="16"/>
                <w:szCs w:val="16"/>
              </w:rPr>
              <w:t xml:space="preserve">0.913</w:t>
            </w:r>
          </w:p>
        </w:tc>
        <w:tc>
          <w:tcPr>
            <w:tcW w:type="dxa" w:w="1350"/>
            <w:tcBorders>
              <w:top w:val="none" w:color="FFFFFF" w:sz="0"/>
              <w:left w:val="none" w:color="FFFFFF" w:sz="0"/>
              <w:bottom w:val="single" w:color="DFE4EA" w:sz="4"/>
              <w:right w:val="none" w:color="FFFFFF" w:sz="0"/>
            </w:tcBorders>
            <w:shd w:fill="E8F2F6" w:color="auto" w:val="clear"/>
            <w:tcMar>
              <w:top w:type="dxa" w:w="60"/>
              <w:left w:type="dxa" w:w="100"/>
              <w:bottom w:type="dxa" w:w="60"/>
              <w:right w:type="dxa" w:w="100"/>
            </w:tcMar>
            <w:vAlign w:val="top"/>
          </w:tcPr>
          <w:p>
            <w:pPr>
              <w:jc w:val="right"/>
            </w:pPr>
            <w:r>
              <w:rPr>
                <w:rFonts w:ascii="Calibri" w:cs="Calibri" w:eastAsia="Calibri" w:hAnsi="Calibri"/>
                <w:b/>
                <w:bCs/>
                <w:color w:val="154F63"/>
                <w:sz w:val="16"/>
                <w:szCs w:val="16"/>
              </w:rPr>
              <w:t xml:space="preserve">4.0 ± 0.2%</w:t>
            </w:r>
          </w:p>
        </w:tc>
        <w:tc>
          <w:tcPr>
            <w:tcW w:type="dxa" w:w="1300"/>
            <w:tcBorders>
              <w:top w:val="none" w:color="FFFFFF" w:sz="0"/>
              <w:left w:val="none" w:color="FFFFFF" w:sz="0"/>
              <w:bottom w:val="single" w:color="DFE4EA" w:sz="4"/>
              <w:right w:val="none" w:color="FFFFFF" w:sz="0"/>
            </w:tcBorders>
            <w:shd w:fill="E8F2F6" w:color="auto" w:val="clear"/>
            <w:tcMar>
              <w:top w:type="dxa" w:w="60"/>
              <w:left w:type="dxa" w:w="100"/>
              <w:bottom w:type="dxa" w:w="60"/>
              <w:right w:type="dxa" w:w="100"/>
            </w:tcMar>
            <w:vAlign w:val="top"/>
          </w:tcPr>
          <w:p>
            <w:pPr>
              <w:jc w:val="right"/>
            </w:pPr>
            <w:r>
              <w:rPr>
                <w:rFonts w:ascii="Calibri" w:cs="Calibri" w:eastAsia="Calibri" w:hAnsi="Calibri"/>
                <w:b/>
                <w:bCs/>
                <w:color w:val="154F63"/>
                <w:sz w:val="16"/>
                <w:szCs w:val="16"/>
              </w:rPr>
              <w:t xml:space="preserve">96.0%</w:t>
            </w:r>
          </w:p>
        </w:tc>
      </w:tr>
      <w:tr>
        <w:trPr>
          <w:cantSplit/>
        </w:trPr>
        <w:tc>
          <w:tcPr>
            <w:tcW w:type="dxa" w:w="2252"/>
            <w:tcBorders>
              <w:top w:val="none" w:color="FFFFFF" w:sz="0"/>
              <w:left w:val="none" w:color="FFFFFF" w:sz="0"/>
              <w:bottom w:val="single" w:color="DFE4EA" w:sz="4"/>
              <w:right w:val="none" w:color="FFFFFF" w:sz="0"/>
            </w:tcBorders>
            <w:tcMar>
              <w:top w:type="dxa" w:w="60"/>
              <w:left w:type="dxa" w:w="100"/>
              <w:bottom w:type="dxa" w:w="60"/>
              <w:right w:type="dxa" w:w="100"/>
            </w:tcMar>
            <w:vAlign w:val="top"/>
          </w:tcPr>
          <w:p>
            <w:pPr>
              <w:jc w:val="left"/>
            </w:pPr>
            <w:r>
              <w:rPr>
                <w:rFonts w:ascii="Calibri" w:cs="Calibri" w:eastAsia="Calibri" w:hAnsi="Calibri"/>
                <w:b w:val="false"/>
                <w:bCs w:val="false"/>
                <w:color w:val="4A5563"/>
                <w:sz w:val="16"/>
                <w:szCs w:val="16"/>
              </w:rPr>
              <w:t xml:space="preserve">FingerWave − seeding</w:t>
            </w:r>
          </w:p>
        </w:tc>
        <w:tc>
          <w:tcPr>
            <w:tcW w:type="dxa" w:w="1300"/>
            <w:tcBorders>
              <w:top w:val="none" w:color="FFFFFF" w:sz="0"/>
              <w:left w:val="none" w:color="FFFFFF" w:sz="0"/>
              <w:bottom w:val="single" w:color="DFE4EA" w:sz="4"/>
              <w:right w:val="none" w:color="FFFFFF" w:sz="0"/>
            </w:tcBorders>
            <w:tcMar>
              <w:top w:type="dxa" w:w="60"/>
              <w:left w:type="dxa" w:w="100"/>
              <w:bottom w:type="dxa" w:w="60"/>
              <w:right w:type="dxa" w:w="100"/>
            </w:tcMar>
            <w:vAlign w:val="top"/>
          </w:tcPr>
          <w:p>
            <w:pPr>
              <w:jc w:val="right"/>
            </w:pPr>
            <w:r>
              <w:rPr>
                <w:rFonts w:ascii="Calibri" w:cs="Calibri" w:eastAsia="Calibri" w:hAnsi="Calibri"/>
                <w:b w:val="false"/>
                <w:bCs w:val="false"/>
                <w:color w:val="4A5563"/>
                <w:sz w:val="16"/>
                <w:szCs w:val="16"/>
              </w:rPr>
              <w:t xml:space="preserve">10.07 ± 7.36</w:t>
            </w:r>
          </w:p>
        </w:tc>
        <w:tc>
          <w:tcPr>
            <w:tcW w:type="dxa" w:w="1300"/>
            <w:tcBorders>
              <w:top w:val="none" w:color="FFFFFF" w:sz="0"/>
              <w:left w:val="none" w:color="FFFFFF" w:sz="0"/>
              <w:bottom w:val="single" w:color="DFE4EA" w:sz="4"/>
              <w:right w:val="none" w:color="FFFFFF" w:sz="0"/>
            </w:tcBorders>
            <w:tcMar>
              <w:top w:type="dxa" w:w="60"/>
              <w:left w:type="dxa" w:w="100"/>
              <w:bottom w:type="dxa" w:w="60"/>
              <w:right w:type="dxa" w:w="100"/>
            </w:tcMar>
            <w:vAlign w:val="top"/>
          </w:tcPr>
          <w:p>
            <w:pPr>
              <w:jc w:val="right"/>
            </w:pPr>
            <w:r>
              <w:rPr>
                <w:rFonts w:ascii="Calibri" w:cs="Calibri" w:eastAsia="Calibri" w:hAnsi="Calibri"/>
                <w:b w:val="false"/>
                <w:bCs w:val="false"/>
                <w:color w:val="4A5563"/>
                <w:sz w:val="16"/>
                <w:szCs w:val="16"/>
              </w:rPr>
              <w:t xml:space="preserve">12.58 ± 5.69</w:t>
            </w:r>
          </w:p>
        </w:tc>
        <w:tc>
          <w:tcPr>
            <w:tcW w:type="dxa" w:w="1150"/>
            <w:tcBorders>
              <w:top w:val="none" w:color="FFFFFF" w:sz="0"/>
              <w:left w:val="none" w:color="FFFFFF" w:sz="0"/>
              <w:bottom w:val="single" w:color="DFE4EA" w:sz="4"/>
              <w:right w:val="none" w:color="FFFFFF" w:sz="0"/>
            </w:tcBorders>
            <w:tcMar>
              <w:top w:type="dxa" w:w="60"/>
              <w:left w:type="dxa" w:w="100"/>
              <w:bottom w:type="dxa" w:w="60"/>
              <w:right w:type="dxa" w:w="100"/>
            </w:tcMar>
            <w:vAlign w:val="top"/>
          </w:tcPr>
          <w:p>
            <w:pPr>
              <w:jc w:val="right"/>
            </w:pPr>
            <w:r>
              <w:rPr>
                <w:rFonts w:ascii="Calibri" w:cs="Calibri" w:eastAsia="Calibri" w:hAnsi="Calibri"/>
                <w:b w:val="false"/>
                <w:bCs w:val="false"/>
                <w:color w:val="4A5563"/>
                <w:sz w:val="16"/>
                <w:szCs w:val="16"/>
              </w:rPr>
              <w:t xml:space="preserve">0.528</w:t>
            </w:r>
          </w:p>
        </w:tc>
        <w:tc>
          <w:tcPr>
            <w:tcW w:type="dxa" w:w="1100"/>
            <w:tcBorders>
              <w:top w:val="none" w:color="FFFFFF" w:sz="0"/>
              <w:left w:val="none" w:color="FFFFFF" w:sz="0"/>
              <w:bottom w:val="single" w:color="DFE4EA" w:sz="4"/>
              <w:right w:val="none" w:color="FFFFFF" w:sz="0"/>
            </w:tcBorders>
            <w:tcMar>
              <w:top w:type="dxa" w:w="60"/>
              <w:left w:type="dxa" w:w="100"/>
              <w:bottom w:type="dxa" w:w="60"/>
              <w:right w:type="dxa" w:w="100"/>
            </w:tcMar>
            <w:vAlign w:val="top"/>
          </w:tcPr>
          <w:p>
            <w:pPr>
              <w:jc w:val="right"/>
            </w:pPr>
            <w:r>
              <w:rPr>
                <w:rFonts w:ascii="Calibri" w:cs="Calibri" w:eastAsia="Calibri" w:hAnsi="Calibri"/>
                <w:b w:val="false"/>
                <w:bCs w:val="false"/>
                <w:color w:val="4A5563"/>
                <w:sz w:val="16"/>
                <w:szCs w:val="16"/>
              </w:rPr>
              <w:t xml:space="preserve">0.458</w:t>
            </w:r>
          </w:p>
        </w:tc>
        <w:tc>
          <w:tcPr>
            <w:tcW w:type="dxa" w:w="1350"/>
            <w:tcBorders>
              <w:top w:val="none" w:color="FFFFFF" w:sz="0"/>
              <w:left w:val="none" w:color="FFFFFF" w:sz="0"/>
              <w:bottom w:val="single" w:color="DFE4EA" w:sz="4"/>
              <w:right w:val="none" w:color="FFFFFF" w:sz="0"/>
            </w:tcBorders>
            <w:tcMar>
              <w:top w:type="dxa" w:w="60"/>
              <w:left w:type="dxa" w:w="100"/>
              <w:bottom w:type="dxa" w:w="60"/>
              <w:right w:type="dxa" w:w="100"/>
            </w:tcMar>
            <w:vAlign w:val="top"/>
          </w:tcPr>
          <w:p>
            <w:pPr>
              <w:jc w:val="right"/>
            </w:pPr>
            <w:r>
              <w:rPr>
                <w:rFonts w:ascii="Calibri" w:cs="Calibri" w:eastAsia="Calibri" w:hAnsi="Calibri"/>
                <w:b w:val="false"/>
                <w:bCs w:val="false"/>
                <w:color w:val="4A5563"/>
                <w:sz w:val="16"/>
                <w:szCs w:val="16"/>
              </w:rPr>
              <w:t xml:space="preserve">37.7 ± 39%</w:t>
            </w:r>
          </w:p>
        </w:tc>
        <w:tc>
          <w:tcPr>
            <w:tcW w:type="dxa" w:w="1300"/>
            <w:tcBorders>
              <w:top w:val="none" w:color="FFFFFF" w:sz="0"/>
              <w:left w:val="none" w:color="FFFFFF" w:sz="0"/>
              <w:bottom w:val="single" w:color="DFE4EA" w:sz="4"/>
              <w:right w:val="none" w:color="FFFFFF" w:sz="0"/>
            </w:tcBorders>
            <w:tcMar>
              <w:top w:type="dxa" w:w="60"/>
              <w:left w:type="dxa" w:w="100"/>
              <w:bottom w:type="dxa" w:w="60"/>
              <w:right w:type="dxa" w:w="100"/>
            </w:tcMar>
            <w:vAlign w:val="top"/>
          </w:tcPr>
          <w:p>
            <w:pPr>
              <w:jc w:val="right"/>
            </w:pPr>
            <w:r>
              <w:rPr>
                <w:rFonts w:ascii="Calibri" w:cs="Calibri" w:eastAsia="Calibri" w:hAnsi="Calibri"/>
                <w:b w:val="false"/>
                <w:bCs w:val="false"/>
                <w:color w:val="4A5563"/>
                <w:sz w:val="16"/>
                <w:szCs w:val="16"/>
              </w:rPr>
              <w:t xml:space="preserve">62.3%</w:t>
            </w:r>
          </w:p>
        </w:tc>
      </w:tr>
      <w:tr>
        <w:trPr>
          <w:cantSplit/>
        </w:trPr>
        <w:tc>
          <w:tcPr>
            <w:tcW w:type="dxa" w:w="2252"/>
            <w:tcBorders>
              <w:top w:val="none" w:color="FFFFFF" w:sz="0"/>
              <w:left w:val="none" w:color="FFFFFF" w:sz="0"/>
              <w:bottom w:val="single" w:color="DFE4EA" w:sz="4"/>
              <w:right w:val="none" w:color="FFFFFF" w:sz="0"/>
            </w:tcBorders>
            <w:tcMar>
              <w:top w:type="dxa" w:w="60"/>
              <w:left w:type="dxa" w:w="100"/>
              <w:bottom w:type="dxa" w:w="60"/>
              <w:right w:type="dxa" w:w="100"/>
            </w:tcMar>
            <w:vAlign w:val="top"/>
          </w:tcPr>
          <w:p>
            <w:pPr>
              <w:jc w:val="left"/>
            </w:pPr>
            <w:r>
              <w:rPr>
                <w:rFonts w:ascii="Calibri" w:cs="Calibri" w:eastAsia="Calibri" w:hAnsi="Calibri"/>
                <w:b w:val="false"/>
                <w:bCs w:val="false"/>
                <w:color w:val="4A5563"/>
                <w:sz w:val="16"/>
                <w:szCs w:val="16"/>
              </w:rPr>
              <w:t xml:space="preserve">FingerWave − anisotropy</w:t>
            </w:r>
          </w:p>
        </w:tc>
        <w:tc>
          <w:tcPr>
            <w:tcW w:type="dxa" w:w="1300"/>
            <w:tcBorders>
              <w:top w:val="none" w:color="FFFFFF" w:sz="0"/>
              <w:left w:val="none" w:color="FFFFFF" w:sz="0"/>
              <w:bottom w:val="single" w:color="DFE4EA" w:sz="4"/>
              <w:right w:val="none" w:color="FFFFFF" w:sz="0"/>
            </w:tcBorders>
            <w:tcMar>
              <w:top w:type="dxa" w:w="60"/>
              <w:left w:type="dxa" w:w="100"/>
              <w:bottom w:type="dxa" w:w="60"/>
              <w:right w:type="dxa" w:w="100"/>
            </w:tcMar>
            <w:vAlign w:val="top"/>
          </w:tcPr>
          <w:p>
            <w:pPr>
              <w:jc w:val="right"/>
            </w:pPr>
            <w:r>
              <w:rPr>
                <w:rFonts w:ascii="Calibri" w:cs="Calibri" w:eastAsia="Calibri" w:hAnsi="Calibri"/>
                <w:b w:val="false"/>
                <w:bCs w:val="false"/>
                <w:color w:val="4A5563"/>
                <w:sz w:val="16"/>
                <w:szCs w:val="16"/>
              </w:rPr>
              <w:t xml:space="preserve">4.70 ± 0.05</w:t>
            </w:r>
          </w:p>
        </w:tc>
        <w:tc>
          <w:tcPr>
            <w:tcW w:type="dxa" w:w="1300"/>
            <w:tcBorders>
              <w:top w:val="none" w:color="FFFFFF" w:sz="0"/>
              <w:left w:val="none" w:color="FFFFFF" w:sz="0"/>
              <w:bottom w:val="single" w:color="DFE4EA" w:sz="4"/>
              <w:right w:val="none" w:color="FFFFFF" w:sz="0"/>
            </w:tcBorders>
            <w:tcMar>
              <w:top w:type="dxa" w:w="60"/>
              <w:left w:type="dxa" w:w="100"/>
              <w:bottom w:type="dxa" w:w="60"/>
              <w:right w:type="dxa" w:w="100"/>
            </w:tcMar>
            <w:vAlign w:val="top"/>
          </w:tcPr>
          <w:p>
            <w:pPr>
              <w:jc w:val="right"/>
            </w:pPr>
            <w:r>
              <w:rPr>
                <w:rFonts w:ascii="Calibri" w:cs="Calibri" w:eastAsia="Calibri" w:hAnsi="Calibri"/>
                <w:b w:val="false"/>
                <w:bCs w:val="false"/>
                <w:color w:val="4A5563"/>
                <w:sz w:val="16"/>
                <w:szCs w:val="16"/>
              </w:rPr>
              <w:t xml:space="preserve">7.32 ± 0.01</w:t>
            </w:r>
          </w:p>
        </w:tc>
        <w:tc>
          <w:tcPr>
            <w:tcW w:type="dxa" w:w="1150"/>
            <w:tcBorders>
              <w:top w:val="none" w:color="FFFFFF" w:sz="0"/>
              <w:left w:val="none" w:color="FFFFFF" w:sz="0"/>
              <w:bottom w:val="single" w:color="DFE4EA" w:sz="4"/>
              <w:right w:val="none" w:color="FFFFFF" w:sz="0"/>
            </w:tcBorders>
            <w:tcMar>
              <w:top w:type="dxa" w:w="60"/>
              <w:left w:type="dxa" w:w="100"/>
              <w:bottom w:type="dxa" w:w="60"/>
              <w:right w:type="dxa" w:w="100"/>
            </w:tcMar>
            <w:vAlign w:val="top"/>
          </w:tcPr>
          <w:p>
            <w:pPr>
              <w:jc w:val="right"/>
            </w:pPr>
            <w:r>
              <w:rPr>
                <w:rFonts w:ascii="Calibri" w:cs="Calibri" w:eastAsia="Calibri" w:hAnsi="Calibri"/>
                <w:b w:val="false"/>
                <w:bCs w:val="false"/>
                <w:color w:val="4A5563"/>
                <w:sz w:val="16"/>
                <w:szCs w:val="16"/>
              </w:rPr>
              <w:t xml:space="preserve">0.945</w:t>
            </w:r>
          </w:p>
        </w:tc>
        <w:tc>
          <w:tcPr>
            <w:tcW w:type="dxa" w:w="1100"/>
            <w:tcBorders>
              <w:top w:val="none" w:color="FFFFFF" w:sz="0"/>
              <w:left w:val="none" w:color="FFFFFF" w:sz="0"/>
              <w:bottom w:val="single" w:color="DFE4EA" w:sz="4"/>
              <w:right w:val="none" w:color="FFFFFF" w:sz="0"/>
            </w:tcBorders>
            <w:tcMar>
              <w:top w:type="dxa" w:w="60"/>
              <w:left w:type="dxa" w:w="100"/>
              <w:bottom w:type="dxa" w:w="60"/>
              <w:right w:type="dxa" w:w="100"/>
            </w:tcMar>
            <w:vAlign w:val="top"/>
          </w:tcPr>
          <w:p>
            <w:pPr>
              <w:jc w:val="right"/>
            </w:pPr>
            <w:r>
              <w:rPr>
                <w:rFonts w:ascii="Calibri" w:cs="Calibri" w:eastAsia="Calibri" w:hAnsi="Calibri"/>
                <w:b w:val="false"/>
                <w:bCs w:val="false"/>
                <w:color w:val="4A5563"/>
                <w:sz w:val="16"/>
                <w:szCs w:val="16"/>
              </w:rPr>
              <w:t xml:space="preserve">0.913</w:t>
            </w:r>
          </w:p>
        </w:tc>
        <w:tc>
          <w:tcPr>
            <w:tcW w:type="dxa" w:w="1350"/>
            <w:tcBorders>
              <w:top w:val="none" w:color="FFFFFF" w:sz="0"/>
              <w:left w:val="none" w:color="FFFFFF" w:sz="0"/>
              <w:bottom w:val="single" w:color="DFE4EA" w:sz="4"/>
              <w:right w:val="none" w:color="FFFFFF" w:sz="0"/>
            </w:tcBorders>
            <w:tcMar>
              <w:top w:type="dxa" w:w="60"/>
              <w:left w:type="dxa" w:w="100"/>
              <w:bottom w:type="dxa" w:w="60"/>
              <w:right w:type="dxa" w:w="100"/>
            </w:tcMar>
            <w:vAlign w:val="top"/>
          </w:tcPr>
          <w:p>
            <w:pPr>
              <w:jc w:val="right"/>
            </w:pPr>
            <w:r>
              <w:rPr>
                <w:rFonts w:ascii="Calibri" w:cs="Calibri" w:eastAsia="Calibri" w:hAnsi="Calibri"/>
                <w:b w:val="false"/>
                <w:bCs w:val="false"/>
                <w:color w:val="4A5563"/>
                <w:sz w:val="16"/>
                <w:szCs w:val="16"/>
              </w:rPr>
              <w:t xml:space="preserve">3.9 ± 0.5%</w:t>
            </w:r>
          </w:p>
        </w:tc>
        <w:tc>
          <w:tcPr>
            <w:tcW w:type="dxa" w:w="1300"/>
            <w:tcBorders>
              <w:top w:val="none" w:color="FFFFFF" w:sz="0"/>
              <w:left w:val="none" w:color="FFFFFF" w:sz="0"/>
              <w:bottom w:val="single" w:color="DFE4EA" w:sz="4"/>
              <w:right w:val="none" w:color="FFFFFF" w:sz="0"/>
            </w:tcBorders>
            <w:tcMar>
              <w:top w:type="dxa" w:w="60"/>
              <w:left w:type="dxa" w:w="100"/>
              <w:bottom w:type="dxa" w:w="60"/>
              <w:right w:type="dxa" w:w="100"/>
            </w:tcMar>
            <w:vAlign w:val="top"/>
          </w:tcPr>
          <w:p>
            <w:pPr>
              <w:jc w:val="right"/>
            </w:pPr>
            <w:r>
              <w:rPr>
                <w:rFonts w:ascii="Calibri" w:cs="Calibri" w:eastAsia="Calibri" w:hAnsi="Calibri"/>
                <w:b w:val="false"/>
                <w:bCs w:val="false"/>
                <w:color w:val="4A5563"/>
                <w:sz w:val="16"/>
                <w:szCs w:val="16"/>
              </w:rPr>
              <w:t xml:space="preserve">96.1%</w:t>
            </w:r>
          </w:p>
        </w:tc>
      </w:tr>
    </w:tbl>
    <w:p>
      <w:pPr>
        <w:spacing w:after="60" w:before="120"/>
        <w:jc w:val="center"/>
      </w:pPr>
      <w:r>
        <w:drawing>
          <wp:inline distT="0" distB="0" distL="0" distR="0">
            <wp:extent cx="6191250" cy="1581150"/>
            <wp:effectExtent t="0" r="0" b="0" l="0"/>
            <wp:docPr id="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 cstate="none"/>
                    <a:srcRect/>
                    <a:stretch>
                      <a:fillRect/>
                    </a:stretch>
                  </pic:blipFill>
                  <pic:spPr bwMode="auto">
                    <a:xfrm>
                      <a:off x="0" y="0"/>
                      <a:ext cx="6191250" cy="1581150"/>
                    </a:xfrm>
                    <a:prstGeom prst="rect">
                      <a:avLst/>
                    </a:prstGeom>
                  </pic:spPr>
                </pic:pic>
              </a:graphicData>
            </a:graphic>
          </wp:inline>
        </w:drawing>
      </w:r>
    </w:p>
    <w:p>
      <w:pPr>
        <w:spacing w:after="200"/>
      </w:pPr>
      <w:r>
        <w:rPr>
          <w:rFonts w:ascii="Calibri" w:cs="Calibri" w:eastAsia="Calibri" w:hAnsi="Calibri"/>
          <w:b/>
          <w:bCs/>
          <w:color w:val="1B2430"/>
          <w:sz w:val="17"/>
          <w:szCs w:val="17"/>
        </w:rPr>
        <w:t xml:space="preserve">Figure 6. </w:t>
      </w:r>
      <w:r>
        <w:rPr>
          <w:rFonts w:ascii="Calibri" w:cs="Calibri" w:eastAsia="Calibri" w:hAnsi="Calibri"/>
          <w:color w:val="4A5563"/>
          <w:sz w:val="17"/>
          <w:szCs w:val="17"/>
        </w:rPr>
        <w:t xml:space="preserve">Occluded-region angle error, Topological Error Rate and class accuracy (mean ± s.d., 3 seeds). Dark teal: FingerWave. Light teal: ablations. Grey: baselines.</w:t>
      </w:r>
    </w:p>
    <w:p>
      <w:pPr>
        <w:spacing w:after="120" w:line="288"/>
        <w:jc w:val="both"/>
      </w:pPr>
      <w:r>
        <w:rPr>
          <w:b/>
          <w:bCs/>
        </w:rPr>
        <w:t xml:space="preserve">Key observations.</w:t>
      </w:r>
      <w:r>
        <w:t xml:space="preserve"> FingerWave had the lowest TER of all non-ablated methods, and all three of its runs (3.8%, 4.0%, 4.2%) beat all three U-Net runs (5.4%, 5.0%, 7.0%). It was also roughly five times more consistent across seeds. Improvements in orientation error were smaller (about 2% overall and 4% in occluded regions). The main benefit is therefore </w:t>
      </w:r>
      <w:r>
        <w:rPr>
          <w:i/>
          <w:iCs/>
        </w:rPr>
        <w:t xml:space="preserve">topological correctness</w:t>
      </w:r>
      <w:r>
        <w:t xml:space="preserve">, getting the right number of cores and deltas, rather than raw pixel accuracy.</w:t>
      </w:r>
    </w:p>
    <w:p>
      <w:pPr>
        <w:spacing w:after="60" w:before="120"/>
        <w:jc w:val="center"/>
      </w:pPr>
      <w:r>
        <w:drawing>
          <wp:inline distT="0" distB="0" distL="0" distR="0">
            <wp:extent cx="5715000" cy="4029075"/>
            <wp:effectExtent t="0" r="0" b="0" l="0"/>
            <wp:docPr id="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 cstate="none"/>
                    <a:srcRect/>
                    <a:stretch>
                      <a:fillRect/>
                    </a:stretch>
                  </pic:blipFill>
                  <pic:spPr bwMode="auto">
                    <a:xfrm>
                      <a:off x="0" y="0"/>
                      <a:ext cx="5715000" cy="4029075"/>
                    </a:xfrm>
                    <a:prstGeom prst="rect">
                      <a:avLst/>
                    </a:prstGeom>
                  </pic:spPr>
                </pic:pic>
              </a:graphicData>
            </a:graphic>
          </wp:inline>
        </w:drawing>
      </w:r>
    </w:p>
    <w:p>
      <w:pPr>
        <w:spacing w:after="200"/>
      </w:pPr>
      <w:r>
        <w:rPr>
          <w:rFonts w:ascii="Calibri" w:cs="Calibri" w:eastAsia="Calibri" w:hAnsi="Calibri"/>
          <w:b/>
          <w:bCs/>
          <w:color w:val="1B2430"/>
          <w:sz w:val="17"/>
          <w:szCs w:val="17"/>
        </w:rPr>
        <w:t xml:space="preserve">Figure 7. </w:t>
      </w:r>
      <w:r>
        <w:rPr>
          <w:rFonts w:ascii="Calibri" w:cs="Calibri" w:eastAsia="Calibri" w:hAnsi="Calibri"/>
          <w:color w:val="4A5563"/>
          <w:sz w:val="17"/>
          <w:szCs w:val="17"/>
        </w:rPr>
        <w:t xml:space="preserve">Four test fingerprints (first four of the test set, not selected). Columns: noisy input, classic smoothing, U-Net, U-Net + topo, FingerWave, ground truth. Dashed outlines mark occluded regions; counts below each panel are detected cores (+½) and deltas (−½). The classic method loses the singular points; all learned methods recover them on these examples, and differences appear mainly in the aggregate statistics.</w:t>
      </w:r>
    </w:p>
    <w:p>
      <w:pPr>
        <w:pStyle w:val="Heading1"/>
      </w:pPr>
      <w:r>
        <w:rPr>
          <w:color w:val="7FB3C8"/>
        </w:rPr>
        <w:t xml:space="preserve">7  </w:t>
      </w:r>
      <w:r>
        <w:t xml:space="preserve">Ablation findings</w:t>
      </w:r>
    </w:p>
    <w:tbl>
      <w:tblPr>
        <w:tblW w:type="dxa" w:w="9752"/>
        <w:tblBorders>
          <w:top w:val="single" w:color="auto" w:sz="4"/>
          <w:left w:val="single" w:color="auto" w:sz="4"/>
          <w:bottom w:val="single" w:color="auto" w:sz="4"/>
          <w:right w:val="single" w:color="auto" w:sz="4"/>
          <w:insideH w:val="single" w:color="auto" w:sz="4"/>
          <w:insideV w:val="single" w:color="auto" w:sz="4"/>
        </w:tblBorders>
      </w:tblPr>
      <w:tblGrid>
        <w:gridCol w:w="2800"/>
        <w:gridCol w:w="5052"/>
        <w:gridCol w:w="1900"/>
      </w:tblGrid>
      <w:tr>
        <w:trPr>
          <w:tblHeader/>
        </w:trPr>
        <w:tc>
          <w:tcPr>
            <w:tcW w:type="dxa" w:w="2800"/>
            <w:tcBorders>
              <w:top w:val="none" w:color="FFFFFF" w:sz="0"/>
              <w:left w:val="none" w:color="FFFFFF" w:sz="0"/>
              <w:bottom w:val="single" w:color="1B2430" w:sz="10"/>
              <w:right w:val="none" w:color="FFFFFF" w:sz="0"/>
            </w:tcBorders>
            <w:tcMar>
              <w:top w:type="dxa" w:w="60"/>
              <w:left w:type="dxa" w:w="100"/>
              <w:bottom w:type="dxa" w:w="60"/>
              <w:right w:type="dxa" w:w="100"/>
            </w:tcMar>
            <w:vAlign w:val="top"/>
          </w:tcPr>
          <w:p>
            <w:pPr>
              <w:jc w:val="left"/>
            </w:pPr>
            <w:r>
              <w:rPr>
                <w:rFonts w:ascii="Calibri" w:cs="Calibri" w:eastAsia="Calibri" w:hAnsi="Calibri"/>
                <w:b/>
                <w:bCs/>
                <w:color w:val="4A5563"/>
                <w:sz w:val="16"/>
                <w:szCs w:val="16"/>
              </w:rPr>
              <w:t xml:space="preserve">Component</w:t>
            </w:r>
          </w:p>
        </w:tc>
        <w:tc>
          <w:tcPr>
            <w:tcW w:type="dxa" w:w="5052"/>
            <w:tcBorders>
              <w:top w:val="none" w:color="FFFFFF" w:sz="0"/>
              <w:left w:val="none" w:color="FFFFFF" w:sz="0"/>
              <w:bottom w:val="single" w:color="1B2430" w:sz="10"/>
              <w:right w:val="none" w:color="FFFFFF" w:sz="0"/>
            </w:tcBorders>
            <w:tcMar>
              <w:top w:type="dxa" w:w="60"/>
              <w:left w:type="dxa" w:w="100"/>
              <w:bottom w:type="dxa" w:w="60"/>
              <w:right w:type="dxa" w:w="100"/>
            </w:tcMar>
            <w:vAlign w:val="top"/>
          </w:tcPr>
          <w:p>
            <w:pPr>
              <w:jc w:val="left"/>
            </w:pPr>
            <w:r>
              <w:rPr>
                <w:rFonts w:ascii="Calibri" w:cs="Calibri" w:eastAsia="Calibri" w:hAnsi="Calibri"/>
                <w:b/>
                <w:bCs/>
                <w:color w:val="4A5563"/>
                <w:sz w:val="16"/>
                <w:szCs w:val="16"/>
              </w:rPr>
              <w:t xml:space="preserve">Evidence</w:t>
            </w:r>
          </w:p>
        </w:tc>
        <w:tc>
          <w:tcPr>
            <w:tcW w:type="dxa" w:w="1900"/>
            <w:tcBorders>
              <w:top w:val="none" w:color="FFFFFF" w:sz="0"/>
              <w:left w:val="none" w:color="FFFFFF" w:sz="0"/>
              <w:bottom w:val="single" w:color="1B2430" w:sz="10"/>
              <w:right w:val="none" w:color="FFFFFF" w:sz="0"/>
            </w:tcBorders>
            <w:tcMar>
              <w:top w:type="dxa" w:w="60"/>
              <w:left w:type="dxa" w:w="100"/>
              <w:bottom w:type="dxa" w:w="60"/>
              <w:right w:type="dxa" w:w="100"/>
            </w:tcMar>
            <w:vAlign w:val="top"/>
          </w:tcPr>
          <w:p>
            <w:pPr>
              <w:jc w:val="left"/>
            </w:pPr>
            <w:r>
              <w:rPr>
                <w:rFonts w:ascii="Calibri" w:cs="Calibri" w:eastAsia="Calibri" w:hAnsi="Calibri"/>
                <w:b/>
                <w:bCs/>
                <w:color w:val="4A5563"/>
                <w:sz w:val="16"/>
                <w:szCs w:val="16"/>
              </w:rPr>
              <w:t xml:space="preserve">Verdict</w:t>
            </w:r>
          </w:p>
        </w:tc>
      </w:tr>
      <w:tr>
        <w:trPr>
          <w:cantSplit/>
        </w:trPr>
        <w:tc>
          <w:tcPr>
            <w:tcW w:type="dxa" w:w="2800"/>
            <w:tcBorders>
              <w:top w:val="none" w:color="FFFFFF" w:sz="0"/>
              <w:left w:val="none" w:color="FFFFFF" w:sz="0"/>
              <w:bottom w:val="single" w:color="DFE4EA" w:sz="4"/>
              <w:right w:val="none" w:color="FFFFFF" w:sz="0"/>
            </w:tcBorders>
            <w:tcMar>
              <w:top w:type="dxa" w:w="60"/>
              <w:left w:type="dxa" w:w="100"/>
              <w:bottom w:type="dxa" w:w="60"/>
              <w:right w:type="dxa" w:w="100"/>
            </w:tcMar>
            <w:vAlign w:val="top"/>
          </w:tcPr>
          <w:p>
            <w:pPr>
              <w:jc w:val="left"/>
            </w:pPr>
            <w:r>
              <w:rPr>
                <w:rFonts w:ascii="Calibri" w:cs="Calibri" w:eastAsia="Calibri" w:hAnsi="Calibri"/>
                <w:b/>
                <w:bCs/>
                <w:color w:val="1B2430"/>
                <w:sz w:val="16"/>
                <w:szCs w:val="16"/>
              </w:rPr>
              <w:t xml:space="preserve">Boundary seeding</w:t>
            </w:r>
            <w:r>
              <w:rPr>
                <w:rFonts w:ascii="Calibri" w:cs="Calibri" w:eastAsia="Calibri" w:hAnsi="Calibri"/>
                <w:b w:val="false"/>
                <w:bCs w:val="false"/>
                <w:color w:val="1B2430"/>
                <w:sz w:val="16"/>
                <w:szCs w:val="16"/>
              </w:rPr>
              <w:t xml:space="preserve"> (initiation sites)</w:t>
            </w:r>
          </w:p>
        </w:tc>
        <w:tc>
          <w:tcPr>
            <w:tcW w:type="dxa" w:w="5052"/>
            <w:tcBorders>
              <w:top w:val="none" w:color="FFFFFF" w:sz="0"/>
              <w:left w:val="none" w:color="FFFFFF" w:sz="0"/>
              <w:bottom w:val="single" w:color="DFE4EA" w:sz="4"/>
              <w:right w:val="none" w:color="FFFFFF" w:sz="0"/>
            </w:tcBorders>
            <w:tcMar>
              <w:top w:type="dxa" w:w="60"/>
              <w:left w:type="dxa" w:w="100"/>
              <w:bottom w:type="dxa" w:w="60"/>
              <w:right w:type="dxa" w:w="100"/>
            </w:tcMar>
            <w:vAlign w:val="top"/>
          </w:tcPr>
          <w:p>
            <w:pPr>
              <w:jc w:val="left"/>
            </w:pPr>
            <w:r>
              <w:rPr>
                <w:rFonts w:ascii="Calibri" w:cs="Calibri" w:eastAsia="Calibri" w:hAnsi="Calibri"/>
                <w:b w:val="false"/>
                <w:bCs w:val="false"/>
                <w:color w:val="1B2430"/>
                <w:sz w:val="16"/>
                <w:szCs w:val="16"/>
              </w:rPr>
              <w:t xml:space="preserve">Removing it raised TER from 4.0% to 9.8%, 82.2% and 21.0% across the three seeds. One run collapsed entirely.</w:t>
            </w:r>
          </w:p>
        </w:tc>
        <w:tc>
          <w:tcPr>
            <w:tcW w:type="dxa" w:w="1900"/>
            <w:tcBorders>
              <w:top w:val="none" w:color="FFFFFF" w:sz="0"/>
              <w:left w:val="none" w:color="FFFFFF" w:sz="0"/>
              <w:bottom w:val="single" w:color="DFE4EA" w:sz="4"/>
              <w:right w:val="none" w:color="FFFFFF" w:sz="0"/>
            </w:tcBorders>
            <w:tcMar>
              <w:top w:type="dxa" w:w="60"/>
              <w:left w:type="dxa" w:w="100"/>
              <w:bottom w:type="dxa" w:w="60"/>
              <w:right w:type="dxa" w:w="100"/>
            </w:tcMar>
            <w:vAlign w:val="top"/>
          </w:tcPr>
          <w:p>
            <w:pPr>
              <w:jc w:val="left"/>
            </w:pPr>
            <w:r>
              <w:rPr>
                <w:rFonts w:ascii="Calibri" w:cs="Calibri" w:eastAsia="Calibri" w:hAnsi="Calibri"/>
                <w:b/>
                <w:bCs/>
                <w:color w:val="2F7D4F"/>
                <w:sz w:val="16"/>
                <w:szCs w:val="16"/>
              </w:rPr>
              <w:t xml:space="preserve">Essential</w:t>
            </w:r>
          </w:p>
        </w:tc>
      </w:tr>
      <w:tr>
        <w:trPr>
          <w:cantSplit/>
        </w:trPr>
        <w:tc>
          <w:tcPr>
            <w:tcW w:type="dxa" w:w="2800"/>
            <w:tcBorders>
              <w:top w:val="none" w:color="FFFFFF" w:sz="0"/>
              <w:left w:val="none" w:color="FFFFFF" w:sz="0"/>
              <w:bottom w:val="single" w:color="DFE4EA" w:sz="4"/>
              <w:right w:val="none" w:color="FFFFFF" w:sz="0"/>
            </w:tcBorders>
            <w:tcMar>
              <w:top w:type="dxa" w:w="60"/>
              <w:left w:type="dxa" w:w="100"/>
              <w:bottom w:type="dxa" w:w="60"/>
              <w:right w:type="dxa" w:w="100"/>
            </w:tcMar>
            <w:vAlign w:val="top"/>
          </w:tcPr>
          <w:p>
            <w:pPr>
              <w:jc w:val="left"/>
            </w:pPr>
            <w:r>
              <w:rPr>
                <w:rFonts w:ascii="Calibri" w:cs="Calibri" w:eastAsia="Calibri" w:hAnsi="Calibri"/>
                <w:b/>
                <w:bCs/>
                <w:color w:val="1B2430"/>
                <w:sz w:val="16"/>
                <w:szCs w:val="16"/>
              </w:rPr>
              <w:t xml:space="preserve">Anisotropic diffusion</w:t>
            </w:r>
            <w:r>
              <w:rPr>
                <w:rFonts w:ascii="Calibri" w:cs="Calibri" w:eastAsia="Calibri" w:hAnsi="Calibri"/>
                <w:b w:val="false"/>
                <w:bCs w:val="false"/>
                <w:color w:val="1B2430"/>
                <w:sz w:val="16"/>
                <w:szCs w:val="16"/>
              </w:rPr>
              <w:t xml:space="preserve"> (pad geometry)</w:t>
            </w:r>
          </w:p>
        </w:tc>
        <w:tc>
          <w:tcPr>
            <w:tcW w:type="dxa" w:w="5052"/>
            <w:tcBorders>
              <w:top w:val="none" w:color="FFFFFF" w:sz="0"/>
              <w:left w:val="none" w:color="FFFFFF" w:sz="0"/>
              <w:bottom w:val="single" w:color="DFE4EA" w:sz="4"/>
              <w:right w:val="none" w:color="FFFFFF" w:sz="0"/>
            </w:tcBorders>
            <w:tcMar>
              <w:top w:type="dxa" w:w="60"/>
              <w:left w:type="dxa" w:w="100"/>
              <w:bottom w:type="dxa" w:w="60"/>
              <w:right w:type="dxa" w:w="100"/>
            </w:tcMar>
            <w:vAlign w:val="top"/>
          </w:tcPr>
          <w:p>
            <w:pPr>
              <w:jc w:val="left"/>
            </w:pPr>
            <w:r>
              <w:rPr>
                <w:rFonts w:ascii="Calibri" w:cs="Calibri" w:eastAsia="Calibri" w:hAnsi="Calibri"/>
                <w:b w:val="false"/>
                <w:bCs w:val="false"/>
                <w:color w:val="1B2430"/>
                <w:sz w:val="16"/>
                <w:szCs w:val="16"/>
              </w:rPr>
              <w:t xml:space="preserve">The isotropic version matched the full model (TER 3.9 ± 0.5% vs 4.0 ± 0.2%; angle 4.70° vs 4.69°).</w:t>
            </w:r>
          </w:p>
        </w:tc>
        <w:tc>
          <w:tcPr>
            <w:tcW w:type="dxa" w:w="1900"/>
            <w:tcBorders>
              <w:top w:val="none" w:color="FFFFFF" w:sz="0"/>
              <w:left w:val="none" w:color="FFFFFF" w:sz="0"/>
              <w:bottom w:val="single" w:color="DFE4EA" w:sz="4"/>
              <w:right w:val="none" w:color="FFFFFF" w:sz="0"/>
            </w:tcBorders>
            <w:tcMar>
              <w:top w:type="dxa" w:w="60"/>
              <w:left w:type="dxa" w:w="100"/>
              <w:bottom w:type="dxa" w:w="60"/>
              <w:right w:type="dxa" w:w="100"/>
            </w:tcMar>
            <w:vAlign w:val="top"/>
          </w:tcPr>
          <w:p>
            <w:pPr>
              <w:jc w:val="left"/>
            </w:pPr>
            <w:r>
              <w:rPr>
                <w:rFonts w:ascii="Calibri" w:cs="Calibri" w:eastAsia="Calibri" w:hAnsi="Calibri"/>
                <w:b/>
                <w:bCs/>
                <w:color w:val="B7791F"/>
                <w:sz w:val="16"/>
                <w:szCs w:val="16"/>
              </w:rPr>
              <w:t xml:space="preserve">No measurable benefit here</w:t>
            </w:r>
          </w:p>
        </w:tc>
      </w:tr>
      <w:tr>
        <w:trPr>
          <w:cantSplit/>
        </w:trPr>
        <w:tc>
          <w:tcPr>
            <w:tcW w:type="dxa" w:w="2800"/>
            <w:tcBorders>
              <w:top w:val="none" w:color="FFFFFF" w:sz="0"/>
              <w:left w:val="none" w:color="FFFFFF" w:sz="0"/>
              <w:bottom w:val="single" w:color="DFE4EA" w:sz="4"/>
              <w:right w:val="none" w:color="FFFFFF" w:sz="0"/>
            </w:tcBorders>
            <w:tcMar>
              <w:top w:type="dxa" w:w="60"/>
              <w:left w:type="dxa" w:w="100"/>
              <w:bottom w:type="dxa" w:w="60"/>
              <w:right w:type="dxa" w:w="100"/>
            </w:tcMar>
            <w:vAlign w:val="top"/>
          </w:tcPr>
          <w:p>
            <w:pPr>
              <w:jc w:val="left"/>
            </w:pPr>
            <w:r>
              <w:rPr>
                <w:rFonts w:ascii="Calibri" w:cs="Calibri" w:eastAsia="Calibri" w:hAnsi="Calibri"/>
                <w:b/>
                <w:bCs/>
                <w:color w:val="1B2430"/>
                <w:sz w:val="16"/>
                <w:szCs w:val="16"/>
              </w:rPr>
              <w:t xml:space="preserve">Topological loss</w:t>
            </w:r>
            <w:r>
              <w:rPr>
                <w:rFonts w:ascii="Calibri" w:cs="Calibri" w:eastAsia="Calibri" w:hAnsi="Calibri"/>
                <w:b w:val="false"/>
                <w:bCs w:val="false"/>
                <w:color w:val="1B2430"/>
                <w:sz w:val="16"/>
                <w:szCs w:val="16"/>
              </w:rPr>
              <w:t xml:space="preserve"> (on U-Net)</w:t>
            </w:r>
          </w:p>
        </w:tc>
        <w:tc>
          <w:tcPr>
            <w:tcW w:type="dxa" w:w="5052"/>
            <w:tcBorders>
              <w:top w:val="none" w:color="FFFFFF" w:sz="0"/>
              <w:left w:val="none" w:color="FFFFFF" w:sz="0"/>
              <w:bottom w:val="single" w:color="DFE4EA" w:sz="4"/>
              <w:right w:val="none" w:color="FFFFFF" w:sz="0"/>
            </w:tcBorders>
            <w:tcMar>
              <w:top w:type="dxa" w:w="60"/>
              <w:left w:type="dxa" w:w="100"/>
              <w:bottom w:type="dxa" w:w="60"/>
              <w:right w:type="dxa" w:w="100"/>
            </w:tcMar>
            <w:vAlign w:val="top"/>
          </w:tcPr>
          <w:p>
            <w:pPr>
              <w:jc w:val="left"/>
            </w:pPr>
            <w:r>
              <w:rPr>
                <w:rFonts w:ascii="Calibri" w:cs="Calibri" w:eastAsia="Calibri" w:hAnsi="Calibri"/>
                <w:b w:val="false"/>
                <w:bCs w:val="false"/>
                <w:color w:val="1B2430"/>
                <w:sz w:val="16"/>
                <w:szCs w:val="16"/>
              </w:rPr>
              <w:t xml:space="preserve">TER 5.8% → 5.3%; angle 4.79° → 4.75°.</w:t>
            </w:r>
          </w:p>
        </w:tc>
        <w:tc>
          <w:tcPr>
            <w:tcW w:type="dxa" w:w="1900"/>
            <w:tcBorders>
              <w:top w:val="none" w:color="FFFFFF" w:sz="0"/>
              <w:left w:val="none" w:color="FFFFFF" w:sz="0"/>
              <w:bottom w:val="single" w:color="DFE4EA" w:sz="4"/>
              <w:right w:val="none" w:color="FFFFFF" w:sz="0"/>
            </w:tcBorders>
            <w:tcMar>
              <w:top w:type="dxa" w:w="60"/>
              <w:left w:type="dxa" w:w="100"/>
              <w:bottom w:type="dxa" w:w="60"/>
              <w:right w:type="dxa" w:w="100"/>
            </w:tcMar>
            <w:vAlign w:val="top"/>
          </w:tcPr>
          <w:p>
            <w:pPr>
              <w:jc w:val="left"/>
            </w:pPr>
            <w:r>
              <w:rPr>
                <w:rFonts w:ascii="Calibri" w:cs="Calibri" w:eastAsia="Calibri" w:hAnsi="Calibri"/>
                <w:b/>
                <w:bCs/>
                <w:color w:val="B7791F"/>
                <w:sz w:val="16"/>
                <w:szCs w:val="16"/>
              </w:rPr>
              <w:t xml:space="preserve">Small benefit</w:t>
            </w:r>
          </w:p>
        </w:tc>
      </w:tr>
      <w:tr>
        <w:trPr>
          <w:cantSplit/>
        </w:trPr>
        <w:tc>
          <w:tcPr>
            <w:tcW w:type="dxa" w:w="2800"/>
            <w:tcBorders>
              <w:top w:val="none" w:color="FFFFFF" w:sz="0"/>
              <w:left w:val="none" w:color="FFFFFF" w:sz="0"/>
              <w:bottom w:val="single" w:color="DFE4EA" w:sz="4"/>
              <w:right w:val="none" w:color="FFFFFF" w:sz="0"/>
            </w:tcBorders>
            <w:tcMar>
              <w:top w:type="dxa" w:w="60"/>
              <w:left w:type="dxa" w:w="100"/>
              <w:bottom w:type="dxa" w:w="60"/>
              <w:right w:type="dxa" w:w="100"/>
            </w:tcMar>
            <w:vAlign w:val="top"/>
          </w:tcPr>
          <w:p>
            <w:pPr>
              <w:jc w:val="left"/>
            </w:pPr>
            <w:r>
              <w:rPr>
                <w:rFonts w:ascii="Calibri" w:cs="Calibri" w:eastAsia="Calibri" w:hAnsi="Calibri"/>
                <w:b/>
                <w:bCs/>
                <w:color w:val="1B2430"/>
                <w:sz w:val="16"/>
                <w:szCs w:val="16"/>
              </w:rPr>
              <w:t xml:space="preserve">Topological loss</w:t>
            </w:r>
            <w:r>
              <w:rPr>
                <w:rFonts w:ascii="Calibri" w:cs="Calibri" w:eastAsia="Calibri" w:hAnsi="Calibri"/>
                <w:b w:val="false"/>
                <w:bCs w:val="false"/>
                <w:color w:val="1B2430"/>
                <w:sz w:val="16"/>
                <w:szCs w:val="16"/>
              </w:rPr>
              <w:t xml:space="preserve"> (noisy field, Section 4.1)</w:t>
            </w:r>
          </w:p>
        </w:tc>
        <w:tc>
          <w:tcPr>
            <w:tcW w:type="dxa" w:w="5052"/>
            <w:tcBorders>
              <w:top w:val="none" w:color="FFFFFF" w:sz="0"/>
              <w:left w:val="none" w:color="FFFFFF" w:sz="0"/>
              <w:bottom w:val="single" w:color="DFE4EA" w:sz="4"/>
              <w:right w:val="none" w:color="FFFFFF" w:sz="0"/>
            </w:tcBorders>
            <w:tcMar>
              <w:top w:type="dxa" w:w="60"/>
              <w:left w:type="dxa" w:w="100"/>
              <w:bottom w:type="dxa" w:w="60"/>
              <w:right w:type="dxa" w:w="100"/>
            </w:tcMar>
            <w:vAlign w:val="top"/>
          </w:tcPr>
          <w:p>
            <w:pPr>
              <w:jc w:val="left"/>
            </w:pPr>
            <w:r>
              <w:rPr>
                <w:rFonts w:ascii="Calibri" w:cs="Calibri" w:eastAsia="Calibri" w:hAnsi="Calibri"/>
                <w:b w:val="false"/>
                <w:bCs w:val="false"/>
                <w:color w:val="1B2430"/>
                <w:sz w:val="16"/>
                <w:szCs w:val="16"/>
              </w:rPr>
              <w:t xml:space="preserve">Removed all 36 spurious defect pairs and kept the true one; the old loss removed none.</w:t>
            </w:r>
          </w:p>
        </w:tc>
        <w:tc>
          <w:tcPr>
            <w:tcW w:type="dxa" w:w="1900"/>
            <w:tcBorders>
              <w:top w:val="none" w:color="FFFFFF" w:sz="0"/>
              <w:left w:val="none" w:color="FFFFFF" w:sz="0"/>
              <w:bottom w:val="single" w:color="DFE4EA" w:sz="4"/>
              <w:right w:val="none" w:color="FFFFFF" w:sz="0"/>
            </w:tcBorders>
            <w:tcMar>
              <w:top w:type="dxa" w:w="60"/>
              <w:left w:type="dxa" w:w="100"/>
              <w:bottom w:type="dxa" w:w="60"/>
              <w:right w:type="dxa" w:w="100"/>
            </w:tcMar>
            <w:vAlign w:val="top"/>
          </w:tcPr>
          <w:p>
            <w:pPr>
              <w:jc w:val="left"/>
            </w:pPr>
            <w:r>
              <w:rPr>
                <w:rFonts w:ascii="Calibri" w:cs="Calibri" w:eastAsia="Calibri" w:hAnsi="Calibri"/>
                <w:b/>
                <w:bCs/>
                <w:color w:val="2F7D4F"/>
                <w:sz w:val="16"/>
                <w:szCs w:val="16"/>
              </w:rPr>
              <w:t xml:space="preserve">Strong in isolation</w:t>
            </w:r>
          </w:p>
        </w:tc>
      </w:tr>
    </w:tbl>
    <w:p>
      <w:pPr>
        <w:spacing w:after="120" w:line="288"/>
        <w:jc w:val="both"/>
      </w:pPr>
      <w:r>
        <w:rPr>
          <w:b/>
          <w:bCs/>
        </w:rPr>
        <w:t xml:space="preserve">Interpretation.</w:t>
      </w:r>
      <w:r>
        <w:t xml:space="preserve"> The central biological insight, </w:t>
      </w:r>
      <w:r>
        <w:rPr>
          <w:i/>
          <w:iCs/>
        </w:rPr>
        <w:t xml:space="preserve">start from what is reliable and propagate inward</w:t>
      </w:r>
      <w:r>
        <w:t xml:space="preserve">, is supported by the data. The anisotropy hypothesis was not confirmed in this setting. A plausible explanation is that the encoder already learns direction-aware features, so the PDE mainly needs to transport information rather than steer it. Anisotropy may matter more on larger occlusions, on real prints, or on data where direction is the dominant signal (for example diffusion MRI), and this should be tested rather than assumed.</w:t>
      </w:r>
    </w:p>
    <w:p>
      <w:pPr>
        <w:spacing w:after="120"/>
      </w:pPr>
    </w:p>
    <w:p>
      <w:pPr>
        <w:pStyle w:val="Heading1"/>
      </w:pPr>
      <w:r>
        <w:rPr>
          <w:color w:val="7FB3C8"/>
        </w:rPr>
        <w:t xml:space="preserve">8  </w:t>
      </w:r>
      <w:r>
        <w:t xml:space="preserve">Scope and next steps</w:t>
      </w:r>
    </w:p>
    <w:tbl>
      <w:tblPr>
        <w:tblW w:type="dxa" w:w="9752"/>
        <w:tblBorders>
          <w:top w:val="single" w:color="auto" w:sz="4"/>
          <w:left w:val="single" w:color="auto" w:sz="4"/>
          <w:bottom w:val="single" w:color="auto" w:sz="4"/>
          <w:right w:val="single" w:color="auto" w:sz="4"/>
          <w:insideH w:val="single" w:color="auto" w:sz="4"/>
          <w:insideV w:val="single" w:color="auto" w:sz="4"/>
        </w:tblBorders>
      </w:tblPr>
      <w:tblGrid>
        <w:gridCol w:w="9752"/>
      </w:tblGrid>
      <w:tr>
        <w:tc>
          <w:tcPr>
            <w:tcW w:type="dxa" w:w="9752"/>
            <w:tcBorders>
              <w:top w:val="none" w:color="FFFFFF" w:sz="0"/>
              <w:left w:val="single" w:color="1F6F8B" w:sz="24"/>
              <w:bottom w:val="none" w:color="FFFFFF" w:sz="0"/>
              <w:right w:val="none" w:color="FFFFFF" w:sz="0"/>
            </w:tcBorders>
            <w:shd w:fill="E8F2F6" w:color="auto" w:val="clear"/>
            <w:tcMar>
              <w:top w:type="dxa" w:w="160"/>
              <w:left w:type="dxa" w:w="220"/>
              <w:bottom w:type="dxa" w:w="120"/>
              <w:right w:type="dxa" w:w="220"/>
            </w:tcMar>
          </w:tcPr>
          <w:p>
            <w:pPr>
              <w:spacing w:after="80"/>
            </w:pPr>
            <w:r>
              <w:rPr>
                <w:rFonts w:ascii="Calibri" w:cs="Calibri" w:eastAsia="Calibri" w:hAnsi="Calibri"/>
                <w:b/>
                <w:bCs/>
                <w:color w:val="154F63"/>
                <w:spacing w:val="40"/>
                <w:sz w:val="15"/>
                <w:szCs w:val="15"/>
              </w:rPr>
              <w:t xml:space="preserve">WHERE FINGERWAVE GOES NEXT</w:t>
            </w:r>
          </w:p>
          <w:p>
            <w:pPr>
              <w:pStyle w:val="ListParagraph"/>
              <w:numPr>
                <w:ilvl w:val="0"/>
                <w:numId w:val="2"/>
              </w:numPr>
              <w:spacing w:after="60" w:line="276"/>
              <w:jc w:val="left"/>
            </w:pPr>
            <w:r>
              <w:rPr>
                <w:b/>
                <w:bCs/>
              </w:rPr>
              <w:t xml:space="preserve">Real fingerprint databases.</w:t>
            </w:r>
            <w:r>
              <w:t xml:space="preserve"> Quantitative validation on public databases such as FVC and NIST, starting with the pretrained model released with this report.</w:t>
            </w:r>
          </w:p>
          <w:p>
            <w:pPr>
              <w:pStyle w:val="ListParagraph"/>
              <w:numPr>
                <w:ilvl w:val="0"/>
                <w:numId w:val="2"/>
              </w:numPr>
              <w:spacing w:after="60" w:line="276"/>
              <w:jc w:val="left"/>
            </w:pPr>
            <w:r>
              <w:rPr>
                <w:b/>
                <w:bCs/>
              </w:rPr>
              <w:t xml:space="preserve">Scale-up.</w:t>
            </w:r>
            <w:r>
              <w:t xml:space="preserve"> Move from the current pilot setting (64×64 grids, ~118k parameters, 10 epochs, 2-core CPU) to larger models and GPU training.</w:t>
            </w:r>
          </w:p>
          <w:p>
            <w:pPr>
              <w:pStyle w:val="ListParagraph"/>
              <w:numPr>
                <w:ilvl w:val="0"/>
                <w:numId w:val="2"/>
              </w:numPr>
              <w:spacing w:after="60" w:line="276"/>
              <w:jc w:val="left"/>
            </w:pPr>
            <w:r>
              <w:rPr>
                <w:b/>
                <w:bCs/>
              </w:rPr>
              <w:t xml:space="preserve">More seeds.</w:t>
            </w:r>
            <w:r>
              <w:t xml:space="preserve"> Extend the comparison beyond three seeds per method to tighten the confidence intervals.</w:t>
            </w:r>
          </w:p>
          <w:p>
            <w:pPr>
              <w:pStyle w:val="ListParagraph"/>
              <w:numPr>
                <w:ilvl w:val="0"/>
                <w:numId w:val="2"/>
              </w:numPr>
              <w:spacing w:after="60" w:line="276"/>
              <w:jc w:val="left"/>
            </w:pPr>
            <w:r>
              <w:rPr>
                <w:b/>
                <w:bCs/>
              </w:rPr>
              <w:t xml:space="preserve">Efficiency.</w:t>
            </w:r>
            <w:r>
              <w:t xml:space="preserve"> Reduce the PDE cost. Training currently takes about 3.6× longer than the U-Net (449 s vs 125 s) and inference 4.1 ms vs 2.6 ms per image.</w:t>
            </w:r>
          </w:p>
          <w:p>
            <w:pPr>
              <w:pStyle w:val="ListParagraph"/>
              <w:numPr>
                <w:ilvl w:val="0"/>
                <w:numId w:val="2"/>
              </w:numPr>
              <w:spacing w:after="60" w:line="276"/>
              <w:jc w:val="left"/>
            </w:pPr>
            <w:r>
              <w:rPr>
                <w:b/>
                <w:bCs/>
              </w:rPr>
              <w:t xml:space="preserve">Stronger classic baseline.</w:t>
            </w:r>
            <w:r>
              <w:t xml:space="preserve"> Widen the σ search for the smoothing baseline (the best value, 6.0, lay at the edge of the range).</w:t>
            </w:r>
          </w:p>
          <w:p>
            <w:pPr>
              <w:pStyle w:val="ListParagraph"/>
              <w:numPr>
                <w:ilvl w:val="0"/>
                <w:numId w:val="2"/>
              </w:numPr>
              <w:spacing w:after="60" w:line="276"/>
              <w:jc w:val="left"/>
            </w:pPr>
            <w:r>
              <w:rPr>
                <w:b/>
                <w:bCs/>
              </w:rPr>
              <w:t xml:space="preserve">New domains.</w:t>
            </w:r>
            <w:r>
              <w:t xml:space="preserve"> Test the applications listed in Section 9, beginning with drug-discovery electrostatics.</w:t>
            </w:r>
          </w:p>
        </w:tc>
      </w:tr>
    </w:tbl>
    <w:p>
      <w:pPr>
        <w:spacing w:after="160"/>
      </w:pPr>
    </w:p>
    <w:p>
      <w:pPr>
        <w:pStyle w:val="Heading1"/>
      </w:pPr>
      <w:r>
        <w:rPr>
          <w:color w:val="7FB3C8"/>
        </w:rPr>
        <w:t xml:space="preserve">9  </w:t>
      </w:r>
      <w:r>
        <w:t xml:space="preserve">Applications and future work</w:t>
      </w:r>
    </w:p>
    <w:p>
      <w:pPr>
        <w:spacing w:after="120" w:line="288"/>
        <w:jc w:val="both"/>
      </w:pPr>
      <w:r>
        <w:t xml:space="preserve">FingerWave is designed for data that (1) form a spatial field, (2) carry a meaningful direction, and (3) are partly missing or unreliable. Candidate domains, roughly in order of how directly the method applies:</w:t>
      </w:r>
    </w:p>
    <w:tbl>
      <w:tblPr>
        <w:tblW w:type="dxa" w:w="9752"/>
        <w:tblBorders>
          <w:top w:val="single" w:color="auto" w:sz="4"/>
          <w:left w:val="single" w:color="auto" w:sz="4"/>
          <w:bottom w:val="single" w:color="auto" w:sz="4"/>
          <w:right w:val="single" w:color="auto" w:sz="4"/>
          <w:insideH w:val="single" w:color="auto" w:sz="4"/>
          <w:insideV w:val="single" w:color="auto" w:sz="4"/>
        </w:tblBorders>
      </w:tblPr>
      <w:tblGrid>
        <w:gridCol w:w="2500"/>
        <w:gridCol w:w="4252"/>
        <w:gridCol w:w="3000"/>
      </w:tblGrid>
      <w:tr>
        <w:trPr>
          <w:tblHeader/>
        </w:trPr>
        <w:tc>
          <w:tcPr>
            <w:tcW w:type="dxa" w:w="2500"/>
            <w:tcBorders>
              <w:top w:val="none" w:color="FFFFFF" w:sz="0"/>
              <w:left w:val="none" w:color="FFFFFF" w:sz="0"/>
              <w:bottom w:val="single" w:color="1B2430" w:sz="10"/>
              <w:right w:val="none" w:color="FFFFFF" w:sz="0"/>
            </w:tcBorders>
            <w:tcMar>
              <w:top w:type="dxa" w:w="60"/>
              <w:left w:type="dxa" w:w="100"/>
              <w:bottom w:type="dxa" w:w="60"/>
              <w:right w:type="dxa" w:w="100"/>
            </w:tcMar>
            <w:vAlign w:val="top"/>
          </w:tcPr>
          <w:p>
            <w:pPr>
              <w:jc w:val="left"/>
            </w:pPr>
            <w:r>
              <w:rPr>
                <w:rFonts w:ascii="Calibri" w:cs="Calibri" w:eastAsia="Calibri" w:hAnsi="Calibri"/>
                <w:b/>
                <w:bCs/>
                <w:color w:val="4A5563"/>
                <w:sz w:val="16"/>
                <w:szCs w:val="16"/>
              </w:rPr>
              <w:t xml:space="preserve">Domain</w:t>
            </w:r>
          </w:p>
        </w:tc>
        <w:tc>
          <w:tcPr>
            <w:tcW w:type="dxa" w:w="4252"/>
            <w:tcBorders>
              <w:top w:val="none" w:color="FFFFFF" w:sz="0"/>
              <w:left w:val="none" w:color="FFFFFF" w:sz="0"/>
              <w:bottom w:val="single" w:color="1B2430" w:sz="10"/>
              <w:right w:val="none" w:color="FFFFFF" w:sz="0"/>
            </w:tcBorders>
            <w:tcMar>
              <w:top w:type="dxa" w:w="60"/>
              <w:left w:type="dxa" w:w="100"/>
              <w:bottom w:type="dxa" w:w="60"/>
              <w:right w:type="dxa" w:w="100"/>
            </w:tcMar>
            <w:vAlign w:val="top"/>
          </w:tcPr>
          <w:p>
            <w:pPr>
              <w:jc w:val="left"/>
            </w:pPr>
            <w:r>
              <w:rPr>
                <w:rFonts w:ascii="Calibri" w:cs="Calibri" w:eastAsia="Calibri" w:hAnsi="Calibri"/>
                <w:b/>
                <w:bCs/>
                <w:color w:val="4A5563"/>
                <w:sz w:val="16"/>
                <w:szCs w:val="16"/>
              </w:rPr>
              <w:t xml:space="preserve">Why it fits</w:t>
            </w:r>
          </w:p>
        </w:tc>
        <w:tc>
          <w:tcPr>
            <w:tcW w:type="dxa" w:w="3000"/>
            <w:tcBorders>
              <w:top w:val="none" w:color="FFFFFF" w:sz="0"/>
              <w:left w:val="none" w:color="FFFFFF" w:sz="0"/>
              <w:bottom w:val="single" w:color="1B2430" w:sz="10"/>
              <w:right w:val="none" w:color="FFFFFF" w:sz="0"/>
            </w:tcBorders>
            <w:tcMar>
              <w:top w:type="dxa" w:w="60"/>
              <w:left w:type="dxa" w:w="100"/>
              <w:bottom w:type="dxa" w:w="60"/>
              <w:right w:type="dxa" w:w="100"/>
            </w:tcMar>
            <w:vAlign w:val="top"/>
          </w:tcPr>
          <w:p>
            <w:pPr>
              <w:jc w:val="left"/>
            </w:pPr>
            <w:r>
              <w:rPr>
                <w:rFonts w:ascii="Calibri" w:cs="Calibri" w:eastAsia="Calibri" w:hAnsi="Calibri"/>
                <w:b/>
                <w:bCs/>
                <w:color w:val="4A5563"/>
                <w:sz w:val="16"/>
                <w:szCs w:val="16"/>
              </w:rPr>
              <w:t xml:space="preserve">Next experiment</w:t>
            </w:r>
          </w:p>
        </w:tc>
      </w:tr>
      <w:tr>
        <w:trPr>
          <w:cantSplit/>
        </w:trPr>
        <w:tc>
          <w:tcPr>
            <w:tcW w:type="dxa" w:w="2500"/>
            <w:tcBorders>
              <w:top w:val="none" w:color="FFFFFF" w:sz="0"/>
              <w:left w:val="none" w:color="FFFFFF" w:sz="0"/>
              <w:bottom w:val="single" w:color="DFE4EA" w:sz="4"/>
              <w:right w:val="none" w:color="FFFFFF" w:sz="0"/>
            </w:tcBorders>
            <w:tcMar>
              <w:top w:type="dxa" w:w="60"/>
              <w:left w:type="dxa" w:w="100"/>
              <w:bottom w:type="dxa" w:w="60"/>
              <w:right w:type="dxa" w:w="100"/>
            </w:tcMar>
            <w:vAlign w:val="top"/>
          </w:tcPr>
          <w:p>
            <w:pPr>
              <w:jc w:val="left"/>
            </w:pPr>
            <w:r>
              <w:rPr>
                <w:rFonts w:ascii="Calibri" w:cs="Calibri" w:eastAsia="Calibri" w:hAnsi="Calibri"/>
                <w:b/>
                <w:bCs/>
                <w:color w:val="1B2430"/>
                <w:sz w:val="16"/>
                <w:szCs w:val="16"/>
              </w:rPr>
              <w:t xml:space="preserve">Drug discovery: electrostatics</w:t>
            </w:r>
          </w:p>
        </w:tc>
        <w:tc>
          <w:tcPr>
            <w:tcW w:type="dxa" w:w="4252"/>
            <w:tcBorders>
              <w:top w:val="none" w:color="FFFFFF" w:sz="0"/>
              <w:left w:val="none" w:color="FFFFFF" w:sz="0"/>
              <w:bottom w:val="single" w:color="DFE4EA" w:sz="4"/>
              <w:right w:val="none" w:color="FFFFFF" w:sz="0"/>
            </w:tcBorders>
            <w:tcMar>
              <w:top w:type="dxa" w:w="60"/>
              <w:left w:type="dxa" w:w="100"/>
              <w:bottom w:type="dxa" w:w="60"/>
              <w:right w:type="dxa" w:w="100"/>
            </w:tcMar>
            <w:vAlign w:val="top"/>
          </w:tcPr>
          <w:p>
            <w:pPr>
              <w:jc w:val="left"/>
            </w:pPr>
            <w:r>
              <w:rPr>
                <w:rFonts w:ascii="Calibri" w:cs="Calibri" w:eastAsia="Calibri" w:hAnsi="Calibri"/>
                <w:b w:val="false"/>
                <w:bCs w:val="false"/>
                <w:color w:val="1B2430"/>
                <w:sz w:val="16"/>
                <w:szCs w:val="16"/>
              </w:rPr>
              <w:t xml:space="preserve">The Poisson–Boltzmann equation ∇·(ε∇φ) = −ρ has the same form as FingerWave's diffusion term</w:t>
            </w:r>
          </w:p>
        </w:tc>
        <w:tc>
          <w:tcPr>
            <w:tcW w:type="dxa" w:w="3000"/>
            <w:tcBorders>
              <w:top w:val="none" w:color="FFFFFF" w:sz="0"/>
              <w:left w:val="none" w:color="FFFFFF" w:sz="0"/>
              <w:bottom w:val="single" w:color="DFE4EA" w:sz="4"/>
              <w:right w:val="none" w:color="FFFFFF" w:sz="0"/>
            </w:tcBorders>
            <w:tcMar>
              <w:top w:type="dxa" w:w="60"/>
              <w:left w:type="dxa" w:w="100"/>
              <w:bottom w:type="dxa" w:w="60"/>
              <w:right w:type="dxa" w:w="100"/>
            </w:tcMar>
            <w:vAlign w:val="top"/>
          </w:tcPr>
          <w:p>
            <w:pPr>
              <w:jc w:val="left"/>
            </w:pPr>
            <w:r>
              <w:rPr>
                <w:rFonts w:ascii="Calibri" w:cs="Calibri" w:eastAsia="Calibri" w:hAnsi="Calibri"/>
                <w:b w:val="false"/>
                <w:bCs w:val="false"/>
                <w:color w:val="1B2430"/>
                <w:sz w:val="16"/>
                <w:szCs w:val="16"/>
              </w:rPr>
              <w:t xml:space="preserve">Fast learned surrogate vs a physics solver (e.g. APBS)</w:t>
            </w:r>
          </w:p>
        </w:tc>
      </w:tr>
      <w:tr>
        <w:trPr>
          <w:cantSplit/>
        </w:trPr>
        <w:tc>
          <w:tcPr>
            <w:tcW w:type="dxa" w:w="2500"/>
            <w:tcBorders>
              <w:top w:val="none" w:color="FFFFFF" w:sz="0"/>
              <w:left w:val="none" w:color="FFFFFF" w:sz="0"/>
              <w:bottom w:val="single" w:color="DFE4EA" w:sz="4"/>
              <w:right w:val="none" w:color="FFFFFF" w:sz="0"/>
            </w:tcBorders>
            <w:tcMar>
              <w:top w:type="dxa" w:w="60"/>
              <w:left w:type="dxa" w:w="100"/>
              <w:bottom w:type="dxa" w:w="60"/>
              <w:right w:type="dxa" w:w="100"/>
            </w:tcMar>
            <w:vAlign w:val="top"/>
          </w:tcPr>
          <w:p>
            <w:pPr>
              <w:jc w:val="left"/>
            </w:pPr>
            <w:r>
              <w:rPr>
                <w:rFonts w:ascii="Calibri" w:cs="Calibri" w:eastAsia="Calibri" w:hAnsi="Calibri"/>
                <w:b w:val="false"/>
                <w:bCs w:val="false"/>
                <w:color w:val="1B2430"/>
                <w:sz w:val="16"/>
                <w:szCs w:val="16"/>
              </w:rPr>
              <w:t xml:space="preserve">Cryo-EM density maps</w:t>
            </w:r>
          </w:p>
        </w:tc>
        <w:tc>
          <w:tcPr>
            <w:tcW w:type="dxa" w:w="4252"/>
            <w:tcBorders>
              <w:top w:val="none" w:color="FFFFFF" w:sz="0"/>
              <w:left w:val="none" w:color="FFFFFF" w:sz="0"/>
              <w:bottom w:val="single" w:color="DFE4EA" w:sz="4"/>
              <w:right w:val="none" w:color="FFFFFF" w:sz="0"/>
            </w:tcBorders>
            <w:tcMar>
              <w:top w:type="dxa" w:w="60"/>
              <w:left w:type="dxa" w:w="100"/>
              <w:bottom w:type="dxa" w:w="60"/>
              <w:right w:type="dxa" w:w="100"/>
            </w:tcMar>
            <w:vAlign w:val="top"/>
          </w:tcPr>
          <w:p>
            <w:pPr>
              <w:jc w:val="left"/>
            </w:pPr>
            <w:r>
              <w:rPr>
                <w:rFonts w:ascii="Calibri" w:cs="Calibri" w:eastAsia="Calibri" w:hAnsi="Calibri"/>
                <w:b w:val="false"/>
                <w:bCs w:val="false"/>
                <w:color w:val="1B2430"/>
                <w:sz w:val="16"/>
                <w:szCs w:val="16"/>
              </w:rPr>
              <w:t xml:space="preserve">Local-resolution maps act as a natural confidence map; helices and strands give direction</w:t>
            </w:r>
          </w:p>
        </w:tc>
        <w:tc>
          <w:tcPr>
            <w:tcW w:type="dxa" w:w="3000"/>
            <w:tcBorders>
              <w:top w:val="none" w:color="FFFFFF" w:sz="0"/>
              <w:left w:val="none" w:color="FFFFFF" w:sz="0"/>
              <w:bottom w:val="single" w:color="DFE4EA" w:sz="4"/>
              <w:right w:val="none" w:color="FFFFFF" w:sz="0"/>
            </w:tcBorders>
            <w:tcMar>
              <w:top w:type="dxa" w:w="60"/>
              <w:left w:type="dxa" w:w="100"/>
              <w:bottom w:type="dxa" w:w="60"/>
              <w:right w:type="dxa" w:w="100"/>
            </w:tcMar>
            <w:vAlign w:val="top"/>
          </w:tcPr>
          <w:p>
            <w:pPr>
              <w:jc w:val="left"/>
            </w:pPr>
            <w:r>
              <w:rPr>
                <w:rFonts w:ascii="Calibri" w:cs="Calibri" w:eastAsia="Calibri" w:hAnsi="Calibri"/>
                <w:b w:val="false"/>
                <w:bCs w:val="false"/>
                <w:color w:val="1B2430"/>
                <w:sz w:val="16"/>
                <w:szCs w:val="16"/>
              </w:rPr>
              <w:t xml:space="preserve">Map completion vs DeepEMhancer / EMReady</w:t>
            </w:r>
          </w:p>
        </w:tc>
      </w:tr>
      <w:tr>
        <w:trPr>
          <w:cantSplit/>
        </w:trPr>
        <w:tc>
          <w:tcPr>
            <w:tcW w:type="dxa" w:w="2500"/>
            <w:tcBorders>
              <w:top w:val="none" w:color="FFFFFF" w:sz="0"/>
              <w:left w:val="none" w:color="FFFFFF" w:sz="0"/>
              <w:bottom w:val="single" w:color="DFE4EA" w:sz="4"/>
              <w:right w:val="none" w:color="FFFFFF" w:sz="0"/>
            </w:tcBorders>
            <w:tcMar>
              <w:top w:type="dxa" w:w="60"/>
              <w:left w:type="dxa" w:w="100"/>
              <w:bottom w:type="dxa" w:w="60"/>
              <w:right w:type="dxa" w:w="100"/>
            </w:tcMar>
            <w:vAlign w:val="top"/>
          </w:tcPr>
          <w:p>
            <w:pPr>
              <w:jc w:val="left"/>
            </w:pPr>
            <w:r>
              <w:rPr>
                <w:rFonts w:ascii="Calibri" w:cs="Calibri" w:eastAsia="Calibri" w:hAnsi="Calibri"/>
                <w:b w:val="false"/>
                <w:bCs w:val="false"/>
                <w:color w:val="1B2430"/>
                <w:sz w:val="16"/>
                <w:szCs w:val="16"/>
              </w:rPr>
              <w:t xml:space="preserve">Diffusion MRI (DTI)</w:t>
            </w:r>
          </w:p>
        </w:tc>
        <w:tc>
          <w:tcPr>
            <w:tcW w:type="dxa" w:w="4252"/>
            <w:tcBorders>
              <w:top w:val="none" w:color="FFFFFF" w:sz="0"/>
              <w:left w:val="none" w:color="FFFFFF" w:sz="0"/>
              <w:bottom w:val="single" w:color="DFE4EA" w:sz="4"/>
              <w:right w:val="none" w:color="FFFFFF" w:sz="0"/>
            </w:tcBorders>
            <w:tcMar>
              <w:top w:type="dxa" w:w="60"/>
              <w:left w:type="dxa" w:w="100"/>
              <w:bottom w:type="dxa" w:w="60"/>
              <w:right w:type="dxa" w:w="100"/>
            </w:tcMar>
            <w:vAlign w:val="top"/>
          </w:tcPr>
          <w:p>
            <w:pPr>
              <w:jc w:val="left"/>
            </w:pPr>
            <w:r>
              <w:rPr>
                <w:rFonts w:ascii="Calibri" w:cs="Calibri" w:eastAsia="Calibri" w:hAnsi="Calibri"/>
                <w:b w:val="false"/>
                <w:bCs w:val="false"/>
                <w:color w:val="1B2430"/>
                <w:sz w:val="16"/>
                <w:szCs w:val="16"/>
              </w:rPr>
              <w:t xml:space="preserve">Nerve-fibre orientation is a director field with a diffusion tensor</w:t>
            </w:r>
          </w:p>
        </w:tc>
        <w:tc>
          <w:tcPr>
            <w:tcW w:type="dxa" w:w="3000"/>
            <w:tcBorders>
              <w:top w:val="none" w:color="FFFFFF" w:sz="0"/>
              <w:left w:val="none" w:color="FFFFFF" w:sz="0"/>
              <w:bottom w:val="single" w:color="DFE4EA" w:sz="4"/>
              <w:right w:val="none" w:color="FFFFFF" w:sz="0"/>
            </w:tcBorders>
            <w:tcMar>
              <w:top w:type="dxa" w:w="60"/>
              <w:left w:type="dxa" w:w="100"/>
              <w:bottom w:type="dxa" w:w="60"/>
              <w:right w:type="dxa" w:w="100"/>
            </w:tcMar>
            <w:vAlign w:val="top"/>
          </w:tcPr>
          <w:p>
            <w:pPr>
              <w:jc w:val="left"/>
            </w:pPr>
            <w:r>
              <w:rPr>
                <w:rFonts w:ascii="Calibri" w:cs="Calibri" w:eastAsia="Calibri" w:hAnsi="Calibri"/>
                <w:b w:val="false"/>
                <w:bCs w:val="false"/>
                <w:color w:val="1B2430"/>
                <w:sz w:val="16"/>
                <w:szCs w:val="16"/>
              </w:rPr>
              <w:t xml:space="preserve">Fibre-orientation inpainting</w:t>
            </w:r>
          </w:p>
        </w:tc>
      </w:tr>
      <w:tr>
        <w:trPr>
          <w:cantSplit/>
        </w:trPr>
        <w:tc>
          <w:tcPr>
            <w:tcW w:type="dxa" w:w="2500"/>
            <w:tcBorders>
              <w:top w:val="none" w:color="FFFFFF" w:sz="0"/>
              <w:left w:val="none" w:color="FFFFFF" w:sz="0"/>
              <w:bottom w:val="single" w:color="DFE4EA" w:sz="4"/>
              <w:right w:val="none" w:color="FFFFFF" w:sz="0"/>
            </w:tcBorders>
            <w:tcMar>
              <w:top w:type="dxa" w:w="60"/>
              <w:left w:type="dxa" w:w="100"/>
              <w:bottom w:type="dxa" w:w="60"/>
              <w:right w:type="dxa" w:w="100"/>
            </w:tcMar>
            <w:vAlign w:val="top"/>
          </w:tcPr>
          <w:p>
            <w:pPr>
              <w:jc w:val="left"/>
            </w:pPr>
            <w:r>
              <w:rPr>
                <w:rFonts w:ascii="Calibri" w:cs="Calibri" w:eastAsia="Calibri" w:hAnsi="Calibri"/>
                <w:b w:val="false"/>
                <w:bCs w:val="false"/>
                <w:color w:val="1B2430"/>
                <w:sz w:val="16"/>
                <w:szCs w:val="16"/>
              </w:rPr>
              <w:t xml:space="preserve">Real fingerprints / forensics</w:t>
            </w:r>
          </w:p>
        </w:tc>
        <w:tc>
          <w:tcPr>
            <w:tcW w:type="dxa" w:w="4252"/>
            <w:tcBorders>
              <w:top w:val="none" w:color="FFFFFF" w:sz="0"/>
              <w:left w:val="none" w:color="FFFFFF" w:sz="0"/>
              <w:bottom w:val="single" w:color="DFE4EA" w:sz="4"/>
              <w:right w:val="none" w:color="FFFFFF" w:sz="0"/>
            </w:tcBorders>
            <w:tcMar>
              <w:top w:type="dxa" w:w="60"/>
              <w:left w:type="dxa" w:w="100"/>
              <w:bottom w:type="dxa" w:w="60"/>
              <w:right w:type="dxa" w:w="100"/>
            </w:tcMar>
            <w:vAlign w:val="top"/>
          </w:tcPr>
          <w:p>
            <w:pPr>
              <w:jc w:val="left"/>
            </w:pPr>
            <w:r>
              <w:rPr>
                <w:rFonts w:ascii="Calibri" w:cs="Calibri" w:eastAsia="Calibri" w:hAnsi="Calibri"/>
                <w:b w:val="false"/>
                <w:bCs w:val="false"/>
                <w:color w:val="1B2430"/>
                <w:sz w:val="16"/>
                <w:szCs w:val="16"/>
              </w:rPr>
              <w:t xml:space="preserve">Partial and smudged latent prints</w:t>
            </w:r>
          </w:p>
        </w:tc>
        <w:tc>
          <w:tcPr>
            <w:tcW w:type="dxa" w:w="3000"/>
            <w:tcBorders>
              <w:top w:val="none" w:color="FFFFFF" w:sz="0"/>
              <w:left w:val="none" w:color="FFFFFF" w:sz="0"/>
              <w:bottom w:val="single" w:color="DFE4EA" w:sz="4"/>
              <w:right w:val="none" w:color="FFFFFF" w:sz="0"/>
            </w:tcBorders>
            <w:tcMar>
              <w:top w:type="dxa" w:w="60"/>
              <w:left w:type="dxa" w:w="100"/>
              <w:bottom w:type="dxa" w:w="60"/>
              <w:right w:type="dxa" w:w="100"/>
            </w:tcMar>
            <w:vAlign w:val="top"/>
          </w:tcPr>
          <w:p>
            <w:pPr>
              <w:jc w:val="left"/>
            </w:pPr>
            <w:r>
              <w:rPr>
                <w:rFonts w:ascii="Calibri" w:cs="Calibri" w:eastAsia="Calibri" w:hAnsi="Calibri"/>
                <w:b w:val="false"/>
                <w:bCs w:val="false"/>
                <w:color w:val="1B2430"/>
                <w:sz w:val="16"/>
                <w:szCs w:val="16"/>
              </w:rPr>
              <w:t xml:space="preserve">FVC benchmark against state-of-the-art enhancers</w:t>
            </w:r>
          </w:p>
        </w:tc>
      </w:tr>
      <w:tr>
        <w:trPr>
          <w:cantSplit/>
        </w:trPr>
        <w:tc>
          <w:tcPr>
            <w:tcW w:type="dxa" w:w="2500"/>
            <w:tcBorders>
              <w:top w:val="none" w:color="FFFFFF" w:sz="0"/>
              <w:left w:val="none" w:color="FFFFFF" w:sz="0"/>
              <w:bottom w:val="single" w:color="DFE4EA" w:sz="4"/>
              <w:right w:val="none" w:color="FFFFFF" w:sz="0"/>
            </w:tcBorders>
            <w:tcMar>
              <w:top w:type="dxa" w:w="60"/>
              <w:left w:type="dxa" w:w="100"/>
              <w:bottom w:type="dxa" w:w="60"/>
              <w:right w:type="dxa" w:w="100"/>
            </w:tcMar>
            <w:vAlign w:val="top"/>
          </w:tcPr>
          <w:p>
            <w:pPr>
              <w:jc w:val="left"/>
            </w:pPr>
            <w:r>
              <w:rPr>
                <w:rFonts w:ascii="Calibri" w:cs="Calibri" w:eastAsia="Calibri" w:hAnsi="Calibri"/>
                <w:b w:val="false"/>
                <w:bCs w:val="false"/>
                <w:color w:val="1B2430"/>
                <w:sz w:val="16"/>
                <w:szCs w:val="16"/>
              </w:rPr>
              <w:t xml:space="preserve">Liquid crystals, satellite gap-filling</w:t>
            </w:r>
          </w:p>
        </w:tc>
        <w:tc>
          <w:tcPr>
            <w:tcW w:type="dxa" w:w="4252"/>
            <w:tcBorders>
              <w:top w:val="none" w:color="FFFFFF" w:sz="0"/>
              <w:left w:val="none" w:color="FFFFFF" w:sz="0"/>
              <w:bottom w:val="single" w:color="DFE4EA" w:sz="4"/>
              <w:right w:val="none" w:color="FFFFFF" w:sz="0"/>
            </w:tcBorders>
            <w:tcMar>
              <w:top w:type="dxa" w:w="60"/>
              <w:left w:type="dxa" w:w="100"/>
              <w:bottom w:type="dxa" w:w="60"/>
              <w:right w:type="dxa" w:w="100"/>
            </w:tcMar>
            <w:vAlign w:val="top"/>
          </w:tcPr>
          <w:p>
            <w:pPr>
              <w:jc w:val="left"/>
            </w:pPr>
            <w:r>
              <w:rPr>
                <w:rFonts w:ascii="Calibri" w:cs="Calibri" w:eastAsia="Calibri" w:hAnsi="Calibri"/>
                <w:b w:val="false"/>
                <w:bCs w:val="false"/>
                <w:color w:val="1B2430"/>
                <w:sz w:val="16"/>
                <w:szCs w:val="16"/>
              </w:rPr>
              <w:t xml:space="preserve">Physical ±½ defects; cloud-occluded ocean fields</w:t>
            </w:r>
          </w:p>
        </w:tc>
        <w:tc>
          <w:tcPr>
            <w:tcW w:type="dxa" w:w="3000"/>
            <w:tcBorders>
              <w:top w:val="none" w:color="FFFFFF" w:sz="0"/>
              <w:left w:val="none" w:color="FFFFFF" w:sz="0"/>
              <w:bottom w:val="single" w:color="DFE4EA" w:sz="4"/>
              <w:right w:val="none" w:color="FFFFFF" w:sz="0"/>
            </w:tcBorders>
            <w:tcMar>
              <w:top w:type="dxa" w:w="60"/>
              <w:left w:type="dxa" w:w="100"/>
              <w:bottom w:type="dxa" w:w="60"/>
              <w:right w:type="dxa" w:w="100"/>
            </w:tcMar>
            <w:vAlign w:val="top"/>
          </w:tcPr>
          <w:p>
            <w:pPr>
              <w:jc w:val="left"/>
            </w:pPr>
            <w:r>
              <w:rPr>
                <w:rFonts w:ascii="Calibri" w:cs="Calibri" w:eastAsia="Calibri" w:hAnsi="Calibri"/>
                <w:b w:val="false"/>
                <w:bCs w:val="false"/>
                <w:color w:val="1B2430"/>
                <w:sz w:val="16"/>
                <w:szCs w:val="16"/>
              </w:rPr>
              <w:t xml:space="preserve">Exploratory</w:t>
            </w:r>
          </w:p>
        </w:tc>
      </w:tr>
    </w:tbl>
    <w:p>
      <w:pPr>
        <w:spacing w:after="120" w:line="288"/>
        <w:jc w:val="both"/>
      </w:pPr>
      <w:r>
        <w:t xml:space="preserve">Planned next steps: (1) validation on real fingerprint data; (2) a Poisson–Boltzmann electrostatics surrogate for drug discovery; (3) larger occlusions and GPU-scale training to re-test the anisotropy hypothesis; (4) a Laplace–Beltrami extension to curved surfaces such as protein surfaces.</w:t>
      </w:r>
    </w:p>
    <w:p>
      <w:pPr>
        <w:spacing w:after="120"/>
      </w:pPr>
    </w:p>
    <w:p>
      <w:pPr>
        <w:pStyle w:val="Heading1"/>
      </w:pPr>
      <w:r>
        <w:rPr>
          <w:color w:val="7FB3C8"/>
        </w:rPr>
        <w:t xml:space="preserve">10  </w:t>
      </w:r>
      <w:r>
        <w:t xml:space="preserve">Reproducibility</w:t>
      </w:r>
    </w:p>
    <w:tbl>
      <w:tblPr>
        <w:tblW w:type="dxa" w:w="9752"/>
        <w:tblBorders>
          <w:top w:val="single" w:color="auto" w:sz="4"/>
          <w:left w:val="single" w:color="auto" w:sz="4"/>
          <w:bottom w:val="single" w:color="auto" w:sz="4"/>
          <w:right w:val="single" w:color="auto" w:sz="4"/>
          <w:insideH w:val="single" w:color="auto" w:sz="4"/>
          <w:insideV w:val="single" w:color="auto" w:sz="4"/>
        </w:tblBorders>
      </w:tblPr>
      <w:tblGrid>
        <w:gridCol w:w="3000"/>
        <w:gridCol w:w="6752"/>
      </w:tblGrid>
      <w:tr>
        <w:trPr>
          <w:tblHeader/>
        </w:trPr>
        <w:tc>
          <w:tcPr>
            <w:tcW w:type="dxa" w:w="3000"/>
            <w:tcBorders>
              <w:top w:val="none" w:color="FFFFFF" w:sz="0"/>
              <w:left w:val="none" w:color="FFFFFF" w:sz="0"/>
              <w:bottom w:val="single" w:color="1B2430" w:sz="10"/>
              <w:right w:val="none" w:color="FFFFFF" w:sz="0"/>
            </w:tcBorders>
            <w:tcMar>
              <w:top w:type="dxa" w:w="60"/>
              <w:left w:type="dxa" w:w="100"/>
              <w:bottom w:type="dxa" w:w="60"/>
              <w:right w:type="dxa" w:w="100"/>
            </w:tcMar>
            <w:vAlign w:val="top"/>
          </w:tcPr>
          <w:p>
            <w:pPr>
              <w:jc w:val="left"/>
            </w:pPr>
            <w:r>
              <w:rPr>
                <w:rFonts w:ascii="Calibri" w:cs="Calibri" w:eastAsia="Calibri" w:hAnsi="Calibri"/>
                <w:b/>
                <w:bCs/>
                <w:color w:val="4A5563"/>
                <w:sz w:val="16"/>
                <w:szCs w:val="16"/>
              </w:rPr>
              <w:t xml:space="preserve">Item</w:t>
            </w:r>
          </w:p>
        </w:tc>
        <w:tc>
          <w:tcPr>
            <w:tcW w:type="dxa" w:w="6752"/>
            <w:tcBorders>
              <w:top w:val="none" w:color="FFFFFF" w:sz="0"/>
              <w:left w:val="none" w:color="FFFFFF" w:sz="0"/>
              <w:bottom w:val="single" w:color="1B2430" w:sz="10"/>
              <w:right w:val="none" w:color="FFFFFF" w:sz="0"/>
            </w:tcBorders>
            <w:tcMar>
              <w:top w:type="dxa" w:w="60"/>
              <w:left w:type="dxa" w:w="100"/>
              <w:bottom w:type="dxa" w:w="60"/>
              <w:right w:type="dxa" w:w="100"/>
            </w:tcMar>
            <w:vAlign w:val="top"/>
          </w:tcPr>
          <w:p>
            <w:pPr>
              <w:jc w:val="left"/>
            </w:pPr>
            <w:r>
              <w:rPr>
                <w:rFonts w:ascii="Calibri" w:cs="Calibri" w:eastAsia="Calibri" w:hAnsi="Calibri"/>
                <w:b/>
                <w:bCs/>
                <w:color w:val="4A5563"/>
                <w:sz w:val="16"/>
                <w:szCs w:val="16"/>
              </w:rPr>
              <w:t xml:space="preserve">Setting</w:t>
            </w:r>
          </w:p>
        </w:tc>
      </w:tr>
      <w:tr>
        <w:trPr>
          <w:cantSplit/>
        </w:trPr>
        <w:tc>
          <w:tcPr>
            <w:tcW w:type="dxa" w:w="3000"/>
            <w:tcBorders>
              <w:top w:val="none" w:color="FFFFFF" w:sz="0"/>
              <w:left w:val="none" w:color="FFFFFF" w:sz="0"/>
              <w:bottom w:val="single" w:color="DFE4EA" w:sz="4"/>
              <w:right w:val="none" w:color="FFFFFF" w:sz="0"/>
            </w:tcBorders>
            <w:tcMar>
              <w:top w:type="dxa" w:w="60"/>
              <w:left w:type="dxa" w:w="100"/>
              <w:bottom w:type="dxa" w:w="60"/>
              <w:right w:type="dxa" w:w="100"/>
            </w:tcMar>
            <w:vAlign w:val="top"/>
          </w:tcPr>
          <w:p>
            <w:pPr>
              <w:jc w:val="left"/>
            </w:pPr>
            <w:r>
              <w:rPr>
                <w:rFonts w:ascii="Calibri" w:cs="Calibri" w:eastAsia="Calibri" w:hAnsi="Calibri"/>
                <w:b w:val="false"/>
                <w:bCs w:val="false"/>
                <w:color w:val="1B2430"/>
                <w:sz w:val="16"/>
                <w:szCs w:val="16"/>
              </w:rPr>
              <w:t xml:space="preserve">Software</w:t>
            </w:r>
          </w:p>
        </w:tc>
        <w:tc>
          <w:tcPr>
            <w:tcW w:type="dxa" w:w="6752"/>
            <w:tcBorders>
              <w:top w:val="none" w:color="FFFFFF" w:sz="0"/>
              <w:left w:val="none" w:color="FFFFFF" w:sz="0"/>
              <w:bottom w:val="single" w:color="DFE4EA" w:sz="4"/>
              <w:right w:val="none" w:color="FFFFFF" w:sz="0"/>
            </w:tcBorders>
            <w:tcMar>
              <w:top w:type="dxa" w:w="60"/>
              <w:left w:type="dxa" w:w="100"/>
              <w:bottom w:type="dxa" w:w="60"/>
              <w:right w:type="dxa" w:w="100"/>
            </w:tcMar>
            <w:vAlign w:val="top"/>
          </w:tcPr>
          <w:p>
            <w:pPr>
              <w:jc w:val="left"/>
            </w:pPr>
            <w:r>
              <w:rPr>
                <w:rFonts w:ascii="Calibri" w:cs="Calibri" w:eastAsia="Calibri" w:hAnsi="Calibri"/>
                <w:b w:val="false"/>
                <w:bCs w:val="false"/>
                <w:color w:val="1B2430"/>
                <w:sz w:val="16"/>
                <w:szCs w:val="16"/>
              </w:rPr>
              <w:t xml:space="preserve">Python 3, PyTorch (CPU), NumPy, Matplotlib</w:t>
            </w:r>
          </w:p>
        </w:tc>
      </w:tr>
      <w:tr>
        <w:trPr>
          <w:cantSplit/>
        </w:trPr>
        <w:tc>
          <w:tcPr>
            <w:tcW w:type="dxa" w:w="3000"/>
            <w:tcBorders>
              <w:top w:val="none" w:color="FFFFFF" w:sz="0"/>
              <w:left w:val="none" w:color="FFFFFF" w:sz="0"/>
              <w:bottom w:val="single" w:color="DFE4EA" w:sz="4"/>
              <w:right w:val="none" w:color="FFFFFF" w:sz="0"/>
            </w:tcBorders>
            <w:tcMar>
              <w:top w:type="dxa" w:w="60"/>
              <w:left w:type="dxa" w:w="100"/>
              <w:bottom w:type="dxa" w:w="60"/>
              <w:right w:type="dxa" w:w="100"/>
            </w:tcMar>
            <w:vAlign w:val="top"/>
          </w:tcPr>
          <w:p>
            <w:pPr>
              <w:jc w:val="left"/>
            </w:pPr>
            <w:r>
              <w:rPr>
                <w:rFonts w:ascii="Calibri" w:cs="Calibri" w:eastAsia="Calibri" w:hAnsi="Calibri"/>
                <w:b w:val="false"/>
                <w:bCs w:val="false"/>
                <w:color w:val="1B2430"/>
                <w:sz w:val="16"/>
                <w:szCs w:val="16"/>
              </w:rPr>
              <w:t xml:space="preserve">Hardware</w:t>
            </w:r>
          </w:p>
        </w:tc>
        <w:tc>
          <w:tcPr>
            <w:tcW w:type="dxa" w:w="6752"/>
            <w:tcBorders>
              <w:top w:val="none" w:color="FFFFFF" w:sz="0"/>
              <w:left w:val="none" w:color="FFFFFF" w:sz="0"/>
              <w:bottom w:val="single" w:color="DFE4EA" w:sz="4"/>
              <w:right w:val="none" w:color="FFFFFF" w:sz="0"/>
            </w:tcBorders>
            <w:tcMar>
              <w:top w:type="dxa" w:w="60"/>
              <w:left w:type="dxa" w:w="100"/>
              <w:bottom w:type="dxa" w:w="60"/>
              <w:right w:type="dxa" w:w="100"/>
            </w:tcMar>
            <w:vAlign w:val="top"/>
          </w:tcPr>
          <w:p>
            <w:pPr>
              <w:jc w:val="left"/>
            </w:pPr>
            <w:r>
              <w:rPr>
                <w:rFonts w:ascii="Calibri" w:cs="Calibri" w:eastAsia="Calibri" w:hAnsi="Calibri"/>
                <w:b w:val="false"/>
                <w:bCs w:val="false"/>
                <w:color w:val="1B2430"/>
                <w:sz w:val="16"/>
                <w:szCs w:val="16"/>
              </w:rPr>
              <w:t xml:space="preserve">2-core CPU, no GPU; full benchmark ≈ 1.5 h</w:t>
            </w:r>
          </w:p>
        </w:tc>
      </w:tr>
      <w:tr>
        <w:trPr>
          <w:cantSplit/>
        </w:trPr>
        <w:tc>
          <w:tcPr>
            <w:tcW w:type="dxa" w:w="3000"/>
            <w:tcBorders>
              <w:top w:val="none" w:color="FFFFFF" w:sz="0"/>
              <w:left w:val="none" w:color="FFFFFF" w:sz="0"/>
              <w:bottom w:val="single" w:color="DFE4EA" w:sz="4"/>
              <w:right w:val="none" w:color="FFFFFF" w:sz="0"/>
            </w:tcBorders>
            <w:tcMar>
              <w:top w:type="dxa" w:w="60"/>
              <w:left w:type="dxa" w:w="100"/>
              <w:bottom w:type="dxa" w:w="60"/>
              <w:right w:type="dxa" w:w="100"/>
            </w:tcMar>
            <w:vAlign w:val="top"/>
          </w:tcPr>
          <w:p>
            <w:pPr>
              <w:jc w:val="left"/>
            </w:pPr>
            <w:r>
              <w:rPr>
                <w:rFonts w:ascii="Calibri" w:cs="Calibri" w:eastAsia="Calibri" w:hAnsi="Calibri"/>
                <w:b w:val="false"/>
                <w:bCs w:val="false"/>
                <w:color w:val="1B2430"/>
                <w:sz w:val="16"/>
                <w:szCs w:val="16"/>
              </w:rPr>
              <w:t xml:space="preserve">Data</w:t>
            </w:r>
          </w:p>
        </w:tc>
        <w:tc>
          <w:tcPr>
            <w:tcW w:type="dxa" w:w="6752"/>
            <w:tcBorders>
              <w:top w:val="none" w:color="FFFFFF" w:sz="0"/>
              <w:left w:val="none" w:color="FFFFFF" w:sz="0"/>
              <w:bottom w:val="single" w:color="DFE4EA" w:sz="4"/>
              <w:right w:val="none" w:color="FFFFFF" w:sz="0"/>
            </w:tcBorders>
            <w:tcMar>
              <w:top w:type="dxa" w:w="60"/>
              <w:left w:type="dxa" w:w="100"/>
              <w:bottom w:type="dxa" w:w="60"/>
              <w:right w:type="dxa" w:w="100"/>
            </w:tcMar>
            <w:vAlign w:val="top"/>
          </w:tcPr>
          <w:p>
            <w:pPr>
              <w:jc w:val="left"/>
            </w:pPr>
            <w:r>
              <w:rPr>
                <w:rFonts w:ascii="Calibri" w:cs="Calibri" w:eastAsia="Calibri" w:hAnsi="Calibri"/>
                <w:b w:val="false"/>
                <w:bCs w:val="false"/>
                <w:color w:val="1B2430"/>
                <w:sz w:val="16"/>
                <w:szCs w:val="16"/>
              </w:rPr>
              <w:t xml:space="preserve">Generator seed 0 (train, 2,000) and seed 1 (test, 500); 128×128 images → 64×64 fields</w:t>
            </w:r>
          </w:p>
        </w:tc>
      </w:tr>
      <w:tr>
        <w:trPr>
          <w:cantSplit/>
        </w:trPr>
        <w:tc>
          <w:tcPr>
            <w:tcW w:type="dxa" w:w="3000"/>
            <w:tcBorders>
              <w:top w:val="none" w:color="FFFFFF" w:sz="0"/>
              <w:left w:val="none" w:color="FFFFFF" w:sz="0"/>
              <w:bottom w:val="single" w:color="DFE4EA" w:sz="4"/>
              <w:right w:val="none" w:color="FFFFFF" w:sz="0"/>
            </w:tcBorders>
            <w:tcMar>
              <w:top w:type="dxa" w:w="60"/>
              <w:left w:type="dxa" w:w="100"/>
              <w:bottom w:type="dxa" w:w="60"/>
              <w:right w:type="dxa" w:w="100"/>
            </w:tcMar>
            <w:vAlign w:val="top"/>
          </w:tcPr>
          <w:p>
            <w:pPr>
              <w:jc w:val="left"/>
            </w:pPr>
            <w:r>
              <w:rPr>
                <w:rFonts w:ascii="Calibri" w:cs="Calibri" w:eastAsia="Calibri" w:hAnsi="Calibri"/>
                <w:b w:val="false"/>
                <w:bCs w:val="false"/>
                <w:color w:val="1B2430"/>
                <w:sz w:val="16"/>
                <w:szCs w:val="16"/>
              </w:rPr>
              <w:t xml:space="preserve">Training</w:t>
            </w:r>
          </w:p>
        </w:tc>
        <w:tc>
          <w:tcPr>
            <w:tcW w:type="dxa" w:w="6752"/>
            <w:tcBorders>
              <w:top w:val="none" w:color="FFFFFF" w:sz="0"/>
              <w:left w:val="none" w:color="FFFFFF" w:sz="0"/>
              <w:bottom w:val="single" w:color="DFE4EA" w:sz="4"/>
              <w:right w:val="none" w:color="FFFFFF" w:sz="0"/>
            </w:tcBorders>
            <w:tcMar>
              <w:top w:type="dxa" w:w="60"/>
              <w:left w:type="dxa" w:w="100"/>
              <w:bottom w:type="dxa" w:w="60"/>
              <w:right w:type="dxa" w:w="100"/>
            </w:tcMar>
            <w:vAlign w:val="top"/>
          </w:tcPr>
          <w:p>
            <w:pPr>
              <w:jc w:val="left"/>
            </w:pPr>
            <w:r>
              <w:rPr>
                <w:rFonts w:ascii="Calibri" w:cs="Calibri" w:eastAsia="Calibri" w:hAnsi="Calibri"/>
                <w:b w:val="false"/>
                <w:bCs w:val="false"/>
                <w:color w:val="1B2430"/>
                <w:sz w:val="16"/>
                <w:szCs w:val="16"/>
              </w:rPr>
              <w:t xml:space="preserve">Adam, lr 2×10⁻³ with cosine decay, batch 16, 10 epochs, gradient clipping 1.0; seeds 0, 1, 2</w:t>
            </w:r>
          </w:p>
        </w:tc>
      </w:tr>
      <w:tr>
        <w:trPr>
          <w:cantSplit/>
        </w:trPr>
        <w:tc>
          <w:tcPr>
            <w:tcW w:type="dxa" w:w="3000"/>
            <w:tcBorders>
              <w:top w:val="none" w:color="FFFFFF" w:sz="0"/>
              <w:left w:val="none" w:color="FFFFFF" w:sz="0"/>
              <w:bottom w:val="single" w:color="DFE4EA" w:sz="4"/>
              <w:right w:val="none" w:color="FFFFFF" w:sz="0"/>
            </w:tcBorders>
            <w:tcMar>
              <w:top w:type="dxa" w:w="60"/>
              <w:left w:type="dxa" w:w="100"/>
              <w:bottom w:type="dxa" w:w="60"/>
              <w:right w:type="dxa" w:w="100"/>
            </w:tcMar>
            <w:vAlign w:val="top"/>
          </w:tcPr>
          <w:p>
            <w:pPr>
              <w:jc w:val="left"/>
            </w:pPr>
            <w:r>
              <w:rPr>
                <w:rFonts w:ascii="Calibri" w:cs="Calibri" w:eastAsia="Calibri" w:hAnsi="Calibri"/>
                <w:b w:val="false"/>
                <w:bCs w:val="false"/>
                <w:color w:val="1B2430"/>
                <w:sz w:val="16"/>
                <w:szCs w:val="16"/>
              </w:rPr>
              <w:t xml:space="preserve">Loss</w:t>
            </w:r>
          </w:p>
        </w:tc>
        <w:tc>
          <w:tcPr>
            <w:tcW w:type="dxa" w:w="6752"/>
            <w:tcBorders>
              <w:top w:val="none" w:color="FFFFFF" w:sz="0"/>
              <w:left w:val="none" w:color="FFFFFF" w:sz="0"/>
              <w:bottom w:val="single" w:color="DFE4EA" w:sz="4"/>
              <w:right w:val="none" w:color="FFFFFF" w:sz="0"/>
            </w:tcBorders>
            <w:tcMar>
              <w:top w:type="dxa" w:w="60"/>
              <w:left w:type="dxa" w:w="100"/>
              <w:bottom w:type="dxa" w:w="60"/>
              <w:right w:type="dxa" w:w="100"/>
            </w:tcMar>
            <w:vAlign w:val="top"/>
          </w:tcPr>
          <w:p>
            <w:pPr>
              <w:jc w:val="left"/>
            </w:pPr>
            <w:r>
              <w:rPr>
                <w:rFonts w:ascii="Calibri" w:cs="Calibri" w:eastAsia="Calibri" w:hAnsi="Calibri"/>
                <w:b w:val="false"/>
                <w:bCs w:val="false"/>
                <w:color w:val="1B2430"/>
                <w:sz w:val="16"/>
                <w:szCs w:val="16"/>
              </w:rPr>
              <w:t xml:space="preserve">MSE + 0.05 · ℒ</w:t>
            </w:r>
            <w:r>
              <w:rPr>
                <w:rFonts w:ascii="Calibri" w:cs="Calibri" w:eastAsia="Calibri" w:hAnsi="Calibri"/>
                <w:b w:val="false"/>
                <w:bCs w:val="false"/>
                <w:color w:val="1B2430"/>
                <w:sz w:val="16"/>
                <w:szCs w:val="16"/>
                <w:vertAlign w:val="subscript"/>
              </w:rPr>
              <w:t xml:space="preserve">topo</w:t>
            </w:r>
            <w:r>
              <w:rPr>
                <w:rFonts w:ascii="Calibri" w:cs="Calibri" w:eastAsia="Calibri" w:hAnsi="Calibri"/>
                <w:b w:val="false"/>
                <w:bCs w:val="false"/>
                <w:color w:val="1B2430"/>
                <w:sz w:val="16"/>
                <w:szCs w:val="16"/>
              </w:rPr>
              <w:t xml:space="preserve"> (ε = 1.5, w</w:t>
            </w:r>
            <w:r>
              <w:rPr>
                <w:rFonts w:ascii="Calibri" w:cs="Calibri" w:eastAsia="Calibri" w:hAnsi="Calibri"/>
                <w:b w:val="false"/>
                <w:bCs w:val="false"/>
                <w:color w:val="1B2430"/>
                <w:sz w:val="16"/>
                <w:szCs w:val="16"/>
                <w:vertAlign w:val="subscript"/>
              </w:rPr>
              <w:t xml:space="preserve">q</w:t>
            </w:r>
            <w:r>
              <w:rPr>
                <w:rFonts w:ascii="Calibri" w:cs="Calibri" w:eastAsia="Calibri" w:hAnsi="Calibri"/>
                <w:b w:val="false"/>
                <w:bCs w:val="false"/>
                <w:color w:val="1B2430"/>
                <w:sz w:val="16"/>
                <w:szCs w:val="16"/>
              </w:rPr>
              <w:t xml:space="preserve"> = 0.1, q∗ = 0)</w:t>
            </w:r>
          </w:p>
        </w:tc>
      </w:tr>
      <w:tr>
        <w:trPr>
          <w:cantSplit/>
        </w:trPr>
        <w:tc>
          <w:tcPr>
            <w:tcW w:type="dxa" w:w="3000"/>
            <w:tcBorders>
              <w:top w:val="none" w:color="FFFFFF" w:sz="0"/>
              <w:left w:val="none" w:color="FFFFFF" w:sz="0"/>
              <w:bottom w:val="single" w:color="DFE4EA" w:sz="4"/>
              <w:right w:val="none" w:color="FFFFFF" w:sz="0"/>
            </w:tcBorders>
            <w:tcMar>
              <w:top w:type="dxa" w:w="60"/>
              <w:left w:type="dxa" w:w="100"/>
              <w:bottom w:type="dxa" w:w="60"/>
              <w:right w:type="dxa" w:w="100"/>
            </w:tcMar>
            <w:vAlign w:val="top"/>
          </w:tcPr>
          <w:p>
            <w:pPr>
              <w:jc w:val="left"/>
            </w:pPr>
            <w:r>
              <w:rPr>
                <w:rFonts w:ascii="Calibri" w:cs="Calibri" w:eastAsia="Calibri" w:hAnsi="Calibri"/>
                <w:b w:val="false"/>
                <w:bCs w:val="false"/>
                <w:color w:val="1B2430"/>
                <w:sz w:val="16"/>
                <w:szCs w:val="16"/>
              </w:rPr>
              <w:t xml:space="preserve">PDE</w:t>
            </w:r>
          </w:p>
        </w:tc>
        <w:tc>
          <w:tcPr>
            <w:tcW w:type="dxa" w:w="6752"/>
            <w:tcBorders>
              <w:top w:val="none" w:color="FFFFFF" w:sz="0"/>
              <w:left w:val="none" w:color="FFFFFF" w:sz="0"/>
              <w:bottom w:val="single" w:color="DFE4EA" w:sz="4"/>
              <w:right w:val="none" w:color="FFFFFF" w:sz="0"/>
            </w:tcBorders>
            <w:tcMar>
              <w:top w:type="dxa" w:w="60"/>
              <w:left w:type="dxa" w:w="100"/>
              <w:bottom w:type="dxa" w:w="60"/>
              <w:right w:type="dxa" w:w="100"/>
            </w:tcMar>
            <w:vAlign w:val="top"/>
          </w:tcPr>
          <w:p>
            <w:pPr>
              <w:jc w:val="left"/>
            </w:pPr>
            <w:r>
              <w:rPr>
                <w:rFonts w:ascii="Calibri" w:cs="Calibri" w:eastAsia="Calibri" w:hAnsi="Calibri"/>
                <w:b w:val="false"/>
                <w:bCs w:val="false"/>
                <w:color w:val="1B2430"/>
                <w:sz w:val="16"/>
                <w:szCs w:val="16"/>
              </w:rPr>
              <w:t xml:space="preserve">Coarse 16×16, 40 steps; fine 64×64, 20 steps; d</w:t>
            </w:r>
            <w:r>
              <w:rPr>
                <w:rFonts w:ascii="Calibri" w:cs="Calibri" w:eastAsia="Calibri" w:hAnsi="Calibri"/>
                <w:b w:val="false"/>
                <w:bCs w:val="false"/>
                <w:color w:val="1B2430"/>
                <w:sz w:val="16"/>
                <w:szCs w:val="16"/>
                <w:vertAlign w:val="subscript"/>
              </w:rPr>
              <w:t xml:space="preserve">max</w:t>
            </w:r>
            <w:r>
              <w:rPr>
                <w:rFonts w:ascii="Calibri" w:cs="Calibri" w:eastAsia="Calibri" w:hAnsi="Calibri"/>
                <w:b w:val="false"/>
                <w:bCs w:val="false"/>
                <w:color w:val="1B2430"/>
                <w:sz w:val="16"/>
                <w:szCs w:val="16"/>
              </w:rPr>
              <w:t xml:space="preserve"> = 1, Δt = 0.2; init d</w:t>
            </w:r>
            <w:r>
              <w:rPr>
                <w:rFonts w:ascii="Calibri" w:cs="Calibri" w:eastAsia="Calibri" w:hAnsi="Calibri"/>
                <w:b w:val="false"/>
                <w:bCs w:val="false"/>
                <w:color w:val="1B2430"/>
                <w:sz w:val="16"/>
                <w:szCs w:val="16"/>
                <w:vertAlign w:val="subscript"/>
              </w:rPr>
              <w:t xml:space="preserve">∥</w:t>
            </w:r>
            <w:r>
              <w:rPr>
                <w:rFonts w:ascii="Calibri" w:cs="Calibri" w:eastAsia="Calibri" w:hAnsi="Calibri"/>
                <w:b w:val="false"/>
                <w:bCs w:val="false"/>
                <w:color w:val="1B2430"/>
                <w:sz w:val="16"/>
                <w:szCs w:val="16"/>
              </w:rPr>
              <w:t xml:space="preserve"> 0.9, d</w:t>
            </w:r>
            <w:r>
              <w:rPr>
                <w:rFonts w:ascii="Calibri" w:cs="Calibri" w:eastAsia="Calibri" w:hAnsi="Calibri"/>
                <w:b w:val="false"/>
                <w:bCs w:val="false"/>
                <w:color w:val="1B2430"/>
                <w:sz w:val="16"/>
                <w:szCs w:val="16"/>
                <w:vertAlign w:val="subscript"/>
              </w:rPr>
              <w:t xml:space="preserve">⊥</w:t>
            </w:r>
            <w:r>
              <w:rPr>
                <w:rFonts w:ascii="Calibri" w:cs="Calibri" w:eastAsia="Calibri" w:hAnsi="Calibri"/>
                <w:b w:val="false"/>
                <w:bCs w:val="false"/>
                <w:color w:val="1B2430"/>
                <w:sz w:val="16"/>
                <w:szCs w:val="16"/>
              </w:rPr>
              <w:t xml:space="preserve"> 0.2, α 1</w:t>
            </w:r>
          </w:p>
        </w:tc>
      </w:tr>
      <w:tr>
        <w:trPr>
          <w:cantSplit/>
        </w:trPr>
        <w:tc>
          <w:tcPr>
            <w:tcW w:type="dxa" w:w="3000"/>
            <w:tcBorders>
              <w:top w:val="none" w:color="FFFFFF" w:sz="0"/>
              <w:left w:val="none" w:color="FFFFFF" w:sz="0"/>
              <w:bottom w:val="single" w:color="DFE4EA" w:sz="4"/>
              <w:right w:val="none" w:color="FFFFFF" w:sz="0"/>
            </w:tcBorders>
            <w:tcMar>
              <w:top w:type="dxa" w:w="60"/>
              <w:left w:type="dxa" w:w="100"/>
              <w:bottom w:type="dxa" w:w="60"/>
              <w:right w:type="dxa" w:w="100"/>
            </w:tcMar>
            <w:vAlign w:val="top"/>
          </w:tcPr>
          <w:p>
            <w:pPr>
              <w:jc w:val="left"/>
            </w:pPr>
            <w:r>
              <w:rPr>
                <w:rFonts w:ascii="Calibri" w:cs="Calibri" w:eastAsia="Calibri" w:hAnsi="Calibri"/>
                <w:b w:val="false"/>
                <w:bCs w:val="false"/>
                <w:color w:val="1B2430"/>
                <w:sz w:val="16"/>
                <w:szCs w:val="16"/>
              </w:rPr>
              <w:t xml:space="preserve">Learned values (seed 0)</w:t>
            </w:r>
          </w:p>
        </w:tc>
        <w:tc>
          <w:tcPr>
            <w:tcW w:type="dxa" w:w="6752"/>
            <w:tcBorders>
              <w:top w:val="none" w:color="FFFFFF" w:sz="0"/>
              <w:left w:val="none" w:color="FFFFFF" w:sz="0"/>
              <w:bottom w:val="single" w:color="DFE4EA" w:sz="4"/>
              <w:right w:val="none" w:color="FFFFFF" w:sz="0"/>
            </w:tcBorders>
            <w:tcMar>
              <w:top w:type="dxa" w:w="60"/>
              <w:left w:type="dxa" w:w="100"/>
              <w:bottom w:type="dxa" w:w="60"/>
              <w:right w:type="dxa" w:w="100"/>
            </w:tcMar>
            <w:vAlign w:val="top"/>
          </w:tcPr>
          <w:p>
            <w:pPr>
              <w:jc w:val="left"/>
            </w:pPr>
            <w:r>
              <w:rPr>
                <w:rFonts w:ascii="Calibri" w:cs="Calibri" w:eastAsia="Calibri" w:hAnsi="Calibri"/>
                <w:b w:val="false"/>
                <w:bCs w:val="false"/>
                <w:color w:val="1B2430"/>
                <w:sz w:val="16"/>
                <w:szCs w:val="16"/>
              </w:rPr>
              <w:t xml:space="preserve">coarse d</w:t>
            </w:r>
            <w:r>
              <w:rPr>
                <w:rFonts w:ascii="Calibri" w:cs="Calibri" w:eastAsia="Calibri" w:hAnsi="Calibri"/>
                <w:b w:val="false"/>
                <w:bCs w:val="false"/>
                <w:color w:val="1B2430"/>
                <w:sz w:val="16"/>
                <w:szCs w:val="16"/>
                <w:vertAlign w:val="subscript"/>
              </w:rPr>
              <w:t xml:space="preserve">∥</w:t>
            </w:r>
            <w:r>
              <w:rPr>
                <w:rFonts w:ascii="Calibri" w:cs="Calibri" w:eastAsia="Calibri" w:hAnsi="Calibri"/>
                <w:b w:val="false"/>
                <w:bCs w:val="false"/>
                <w:color w:val="1B2430"/>
                <w:sz w:val="16"/>
                <w:szCs w:val="16"/>
              </w:rPr>
              <w:t xml:space="preserve"> 0.78, d</w:t>
            </w:r>
            <w:r>
              <w:rPr>
                <w:rFonts w:ascii="Calibri" w:cs="Calibri" w:eastAsia="Calibri" w:hAnsi="Calibri"/>
                <w:b w:val="false"/>
                <w:bCs w:val="false"/>
                <w:color w:val="1B2430"/>
                <w:sz w:val="16"/>
                <w:szCs w:val="16"/>
                <w:vertAlign w:val="subscript"/>
              </w:rPr>
              <w:t xml:space="preserve">⊥</w:t>
            </w:r>
            <w:r>
              <w:rPr>
                <w:rFonts w:ascii="Calibri" w:cs="Calibri" w:eastAsia="Calibri" w:hAnsi="Calibri"/>
                <w:b w:val="false"/>
                <w:bCs w:val="false"/>
                <w:color w:val="1B2430"/>
                <w:sz w:val="16"/>
                <w:szCs w:val="16"/>
              </w:rPr>
              <w:t xml:space="preserve"> 0.32; fine d</w:t>
            </w:r>
            <w:r>
              <w:rPr>
                <w:rFonts w:ascii="Calibri" w:cs="Calibri" w:eastAsia="Calibri" w:hAnsi="Calibri"/>
                <w:b w:val="false"/>
                <w:bCs w:val="false"/>
                <w:color w:val="1B2430"/>
                <w:sz w:val="16"/>
                <w:szCs w:val="16"/>
                <w:vertAlign w:val="subscript"/>
              </w:rPr>
              <w:t xml:space="preserve">∥</w:t>
            </w:r>
            <w:r>
              <w:rPr>
                <w:rFonts w:ascii="Calibri" w:cs="Calibri" w:eastAsia="Calibri" w:hAnsi="Calibri"/>
                <w:b w:val="false"/>
                <w:bCs w:val="false"/>
                <w:color w:val="1B2430"/>
                <w:sz w:val="16"/>
                <w:szCs w:val="16"/>
              </w:rPr>
              <w:t xml:space="preserve"> 0.93, d</w:t>
            </w:r>
            <w:r>
              <w:rPr>
                <w:rFonts w:ascii="Calibri" w:cs="Calibri" w:eastAsia="Calibri" w:hAnsi="Calibri"/>
                <w:b w:val="false"/>
                <w:bCs w:val="false"/>
                <w:color w:val="1B2430"/>
                <w:sz w:val="16"/>
                <w:szCs w:val="16"/>
                <w:vertAlign w:val="subscript"/>
              </w:rPr>
              <w:t xml:space="preserve">⊥</w:t>
            </w:r>
            <w:r>
              <w:rPr>
                <w:rFonts w:ascii="Calibri" w:cs="Calibri" w:eastAsia="Calibri" w:hAnsi="Calibri"/>
                <w:b w:val="false"/>
                <w:bCs w:val="false"/>
                <w:color w:val="1B2430"/>
                <w:sz w:val="16"/>
                <w:szCs w:val="16"/>
              </w:rPr>
              <w:t xml:space="preserve"> 0.33; λ = 2.12 / 1.80</w:t>
            </w:r>
          </w:p>
        </w:tc>
      </w:tr>
      <w:tr>
        <w:trPr>
          <w:cantSplit/>
        </w:trPr>
        <w:tc>
          <w:tcPr>
            <w:tcW w:type="dxa" w:w="3000"/>
            <w:tcBorders>
              <w:top w:val="none" w:color="FFFFFF" w:sz="0"/>
              <w:left w:val="none" w:color="FFFFFF" w:sz="0"/>
              <w:bottom w:val="single" w:color="DFE4EA" w:sz="4"/>
              <w:right w:val="none" w:color="FFFFFF" w:sz="0"/>
            </w:tcBorders>
            <w:tcMar>
              <w:top w:type="dxa" w:w="60"/>
              <w:left w:type="dxa" w:w="100"/>
              <w:bottom w:type="dxa" w:w="60"/>
              <w:right w:type="dxa" w:w="100"/>
            </w:tcMar>
            <w:vAlign w:val="top"/>
          </w:tcPr>
          <w:p>
            <w:pPr>
              <w:jc w:val="left"/>
            </w:pPr>
            <w:r>
              <w:rPr>
                <w:rFonts w:ascii="Calibri" w:cs="Calibri" w:eastAsia="Calibri" w:hAnsi="Calibri"/>
                <w:b w:val="false"/>
                <w:bCs w:val="false"/>
                <w:color w:val="1B2430"/>
                <w:sz w:val="16"/>
                <w:szCs w:val="16"/>
              </w:rPr>
              <w:t xml:space="preserve">Code</w:t>
            </w:r>
          </w:p>
        </w:tc>
        <w:tc>
          <w:tcPr>
            <w:tcW w:type="dxa" w:w="6752"/>
            <w:tcBorders>
              <w:top w:val="none" w:color="FFFFFF" w:sz="0"/>
              <w:left w:val="none" w:color="FFFFFF" w:sz="0"/>
              <w:bottom w:val="single" w:color="DFE4EA" w:sz="4"/>
              <w:right w:val="none" w:color="FFFFFF" w:sz="0"/>
            </w:tcBorders>
            <w:tcMar>
              <w:top w:type="dxa" w:w="60"/>
              <w:left w:type="dxa" w:w="100"/>
              <w:bottom w:type="dxa" w:w="60"/>
              <w:right w:type="dxa" w:w="100"/>
            </w:tcMar>
            <w:vAlign w:val="top"/>
          </w:tcPr>
          <w:p>
            <w:pPr>
              <w:jc w:val="left"/>
            </w:pPr>
            <w:r>
              <w:rPr>
                <w:rFonts w:ascii="Calibri" w:cs="Calibri" w:eastAsia="Calibri" w:hAnsi="Calibri"/>
                <w:b w:val="false"/>
                <w:bCs w:val="false"/>
                <w:color w:val="1B2430"/>
                <w:sz w:val="16"/>
                <w:szCs w:val="16"/>
              </w:rPr>
              <w:t xml:space="preserve">pavan_krovvidi_fingerwave (Apache 2.0): topological loss, PDE layer, data generator and benchmark scripts, with all tests</w:t>
            </w:r>
          </w:p>
        </w:tc>
      </w:tr>
    </w:tbl>
    <w:p>
      <w:pPr>
        <w:spacing w:after="120"/>
      </w:pPr>
    </w:p>
    <w:p>
      <w:pPr>
        <w:pStyle w:val="Heading1"/>
      </w:pPr>
      <w:r>
        <w:rPr>
          <w:color w:val="7FB3C8"/>
        </w:rPr>
        <w:t xml:space="preserve">11  </w:t>
      </w:r>
      <w:r>
        <w:t xml:space="preserve">Related work and references</w:t>
      </w:r>
    </w:p>
    <w:p>
      <w:pPr>
        <w:spacing w:after="120" w:line="288"/>
        <w:jc w:val="both"/>
      </w:pPr>
      <w:r>
        <w:t xml:space="preserve">FingerWave belongs to the family of physics-informed and PDE-based neural networks. Neural PDE layers (PDE-Net), graph diffusion and reaction–diffusion networks (BLEND, GREAD), Neural Cellular Automata and topology-aware losses already exist. </w:t>
      </w:r>
      <w:r>
        <w:rPr>
          <w:b/>
          <w:bCs/>
        </w:rPr>
        <w:t xml:space="preserve">My contribution is the specific combination of these ingredients, motivated by fingerprint development</w:t>
      </w:r>
      <w:r>
        <w:t xml:space="preserve">: confidence-seeded propagation, a stable complex Ginzburg–Landau wavefront layer acting on a director field, and a differentiable defect-conserving loss, together with an exact-ground-truth benchmark and ablations.</w:t>
      </w:r>
    </w:p>
    <w:p>
      <w:pPr>
        <w:pStyle w:val="ListParagraph"/>
        <w:numPr>
          <w:ilvl w:val="0"/>
          <w:numId w:val="3"/>
        </w:numPr>
        <w:spacing w:after="50" w:line="252"/>
      </w:pPr>
      <w:r>
        <w:rPr>
          <w:sz w:val="18"/>
          <w:szCs w:val="18"/>
        </w:rPr>
        <w:t xml:space="preserve">Glover J.D. et al. (2023). The developmental basis of fingerprint pattern formation and variation. </w:t>
      </w:r>
      <w:r>
        <w:rPr>
          <w:i/>
          <w:iCs/>
          <w:sz w:val="18"/>
          <w:szCs w:val="18"/>
        </w:rPr>
        <w:t xml:space="preserve">Cell</w:t>
      </w:r>
      <w:r>
        <w:rPr>
          <w:sz w:val="18"/>
          <w:szCs w:val="18"/>
        </w:rPr>
        <w:t xml:space="preserve"> 186(5), 940–956.</w:t>
      </w:r>
    </w:p>
    <w:p>
      <w:pPr>
        <w:pStyle w:val="ListParagraph"/>
        <w:numPr>
          <w:ilvl w:val="0"/>
          <w:numId w:val="3"/>
        </w:numPr>
        <w:spacing w:after="50" w:line="252"/>
      </w:pPr>
      <w:r>
        <w:rPr>
          <w:sz w:val="18"/>
          <w:szCs w:val="18"/>
        </w:rPr>
        <w:t xml:space="preserve">Kücken M., Newell A.C. (2005). Fingerprint formation. </w:t>
      </w:r>
      <w:r>
        <w:rPr>
          <w:i/>
          <w:iCs/>
          <w:sz w:val="18"/>
          <w:szCs w:val="18"/>
        </w:rPr>
        <w:t xml:space="preserve">Journal of Theoretical Biology</w:t>
      </w:r>
      <w:r>
        <w:rPr>
          <w:sz w:val="18"/>
          <w:szCs w:val="18"/>
        </w:rPr>
        <w:t xml:space="preserve"> 235(1), 71–83.</w:t>
      </w:r>
    </w:p>
    <w:p>
      <w:pPr>
        <w:pStyle w:val="ListParagraph"/>
        <w:numPr>
          <w:ilvl w:val="0"/>
          <w:numId w:val="3"/>
        </w:numPr>
        <w:spacing w:after="50" w:line="252"/>
      </w:pPr>
      <w:r>
        <w:rPr>
          <w:sz w:val="18"/>
          <w:szCs w:val="18"/>
        </w:rPr>
        <w:t xml:space="preserve">Turing A.M. (1952). The chemical basis of morphogenesis. </w:t>
      </w:r>
      <w:r>
        <w:rPr>
          <w:i/>
          <w:iCs/>
          <w:sz w:val="18"/>
          <w:szCs w:val="18"/>
        </w:rPr>
        <w:t xml:space="preserve">Phil. Trans. R. Soc. B</w:t>
      </w:r>
      <w:r>
        <w:rPr>
          <w:sz w:val="18"/>
          <w:szCs w:val="18"/>
        </w:rPr>
        <w:t xml:space="preserve"> 237, 37–72.</w:t>
      </w:r>
    </w:p>
    <w:p>
      <w:pPr>
        <w:pStyle w:val="ListParagraph"/>
        <w:numPr>
          <w:ilvl w:val="0"/>
          <w:numId w:val="3"/>
        </w:numPr>
        <w:spacing w:after="50" w:line="252"/>
      </w:pPr>
      <w:r>
        <w:rPr>
          <w:sz w:val="18"/>
          <w:szCs w:val="18"/>
        </w:rPr>
        <w:t xml:space="preserve">Sherlock B.G., Monro D.M. (1993). A model for interpreting fingerprint topology. </w:t>
      </w:r>
      <w:r>
        <w:rPr>
          <w:i/>
          <w:iCs/>
          <w:sz w:val="18"/>
          <w:szCs w:val="18"/>
        </w:rPr>
        <w:t xml:space="preserve">Pattern Recognition</w:t>
      </w:r>
      <w:r>
        <w:rPr>
          <w:sz w:val="18"/>
          <w:szCs w:val="18"/>
        </w:rPr>
        <w:t xml:space="preserve"> 26(7), 1047–1055.</w:t>
      </w:r>
    </w:p>
    <w:p>
      <w:pPr>
        <w:pStyle w:val="ListParagraph"/>
        <w:numPr>
          <w:ilvl w:val="0"/>
          <w:numId w:val="3"/>
        </w:numPr>
        <w:spacing w:after="50" w:line="252"/>
      </w:pPr>
      <w:r>
        <w:rPr>
          <w:sz w:val="18"/>
          <w:szCs w:val="18"/>
        </w:rPr>
        <w:t xml:space="preserve">Cappelli R., Maio D., Maltoni D. (2002). Synthetic fingerprint-database generation. </w:t>
      </w:r>
      <w:r>
        <w:rPr>
          <w:i/>
          <w:iCs/>
          <w:sz w:val="18"/>
          <w:szCs w:val="18"/>
        </w:rPr>
        <w:t xml:space="preserve">Proc. ICPR</w:t>
      </w:r>
      <w:r>
        <w:rPr>
          <w:sz w:val="18"/>
          <w:szCs w:val="18"/>
        </w:rPr>
        <w:t xml:space="preserve">.</w:t>
      </w:r>
    </w:p>
    <w:p>
      <w:pPr>
        <w:pStyle w:val="ListParagraph"/>
        <w:numPr>
          <w:ilvl w:val="0"/>
          <w:numId w:val="3"/>
        </w:numPr>
        <w:spacing w:after="50" w:line="252"/>
      </w:pPr>
      <w:r>
        <w:rPr>
          <w:sz w:val="18"/>
          <w:szCs w:val="18"/>
        </w:rPr>
        <w:t xml:space="preserve">Kass M., Witkin A. (1987). Analyzing oriented patterns. </w:t>
      </w:r>
      <w:r>
        <w:rPr>
          <w:i/>
          <w:iCs/>
          <w:sz w:val="18"/>
          <w:szCs w:val="18"/>
        </w:rPr>
        <w:t xml:space="preserve">Computer Vision, Graphics, and Image Processing</w:t>
      </w:r>
      <w:r>
        <w:rPr>
          <w:sz w:val="18"/>
          <w:szCs w:val="18"/>
        </w:rPr>
        <w:t xml:space="preserve"> 37(3), 362–385.</w:t>
      </w:r>
    </w:p>
    <w:p>
      <w:pPr>
        <w:pStyle w:val="ListParagraph"/>
        <w:numPr>
          <w:ilvl w:val="0"/>
          <w:numId w:val="3"/>
        </w:numPr>
        <w:spacing w:after="50" w:line="252"/>
      </w:pPr>
      <w:r>
        <w:rPr>
          <w:sz w:val="18"/>
          <w:szCs w:val="18"/>
        </w:rPr>
        <w:t xml:space="preserve">Weickert J. (1998). </w:t>
      </w:r>
      <w:r>
        <w:rPr>
          <w:i/>
          <w:iCs/>
          <w:sz w:val="18"/>
          <w:szCs w:val="18"/>
        </w:rPr>
        <w:t xml:space="preserve">Anisotropic Diffusion in Image Processing</w:t>
      </w:r>
      <w:r>
        <w:rPr>
          <w:sz w:val="18"/>
          <w:szCs w:val="18"/>
        </w:rPr>
        <w:t xml:space="preserve">. Teubner.</w:t>
      </w:r>
    </w:p>
    <w:p>
      <w:pPr>
        <w:pStyle w:val="ListParagraph"/>
        <w:numPr>
          <w:ilvl w:val="0"/>
          <w:numId w:val="3"/>
        </w:numPr>
        <w:spacing w:after="50" w:line="252"/>
      </w:pPr>
      <w:r>
        <w:rPr>
          <w:sz w:val="18"/>
          <w:szCs w:val="18"/>
        </w:rPr>
        <w:t xml:space="preserve">Bethuel F., Brezis H., Hélein F. (1994). </w:t>
      </w:r>
      <w:r>
        <w:rPr>
          <w:i/>
          <w:iCs/>
          <w:sz w:val="18"/>
          <w:szCs w:val="18"/>
        </w:rPr>
        <w:t xml:space="preserve">Ginzburg–Landau Vortices</w:t>
      </w:r>
      <w:r>
        <w:rPr>
          <w:sz w:val="18"/>
          <w:szCs w:val="18"/>
        </w:rPr>
        <w:t xml:space="preserve">. Birkhäuser.</w:t>
      </w:r>
    </w:p>
    <w:p>
      <w:pPr>
        <w:pStyle w:val="ListParagraph"/>
        <w:numPr>
          <w:ilvl w:val="0"/>
          <w:numId w:val="3"/>
        </w:numPr>
        <w:spacing w:after="50" w:line="252"/>
      </w:pPr>
      <w:r>
        <w:rPr>
          <w:sz w:val="18"/>
          <w:szCs w:val="18"/>
        </w:rPr>
        <w:t xml:space="preserve">Aranson I.S., Kramer L. (2002). The world of the complex Ginzburg–Landau equation. </w:t>
      </w:r>
      <w:r>
        <w:rPr>
          <w:i/>
          <w:iCs/>
          <w:sz w:val="18"/>
          <w:szCs w:val="18"/>
        </w:rPr>
        <w:t xml:space="preserve">Rev. Mod. Phys.</w:t>
      </w:r>
      <w:r>
        <w:rPr>
          <w:sz w:val="18"/>
          <w:szCs w:val="18"/>
        </w:rPr>
        <w:t xml:space="preserve"> 74, 99.</w:t>
      </w:r>
    </w:p>
    <w:p>
      <w:pPr>
        <w:pStyle w:val="ListParagraph"/>
        <w:numPr>
          <w:ilvl w:val="0"/>
          <w:numId w:val="3"/>
        </w:numPr>
        <w:spacing w:after="50" w:line="252"/>
      </w:pPr>
      <w:r>
        <w:rPr>
          <w:sz w:val="18"/>
          <w:szCs w:val="18"/>
        </w:rPr>
        <w:t xml:space="preserve">Long Z., Lu Y., Ma X., Dong B. (2018). PDE-Net: Learning PDEs from data. </w:t>
      </w:r>
      <w:r>
        <w:rPr>
          <w:i/>
          <w:iCs/>
          <w:sz w:val="18"/>
          <w:szCs w:val="18"/>
        </w:rPr>
        <w:t xml:space="preserve">ICML</w:t>
      </w:r>
      <w:r>
        <w:rPr>
          <w:sz w:val="18"/>
          <w:szCs w:val="18"/>
        </w:rPr>
        <w:t xml:space="preserve">.</w:t>
      </w:r>
    </w:p>
    <w:p>
      <w:pPr>
        <w:pStyle w:val="ListParagraph"/>
        <w:numPr>
          <w:ilvl w:val="0"/>
          <w:numId w:val="3"/>
        </w:numPr>
        <w:spacing w:after="50" w:line="252"/>
      </w:pPr>
      <w:r>
        <w:rPr>
          <w:sz w:val="18"/>
          <w:szCs w:val="18"/>
        </w:rPr>
        <w:t xml:space="preserve">Chamberlain B.P. et al. (2021). Beltrami flow and neural diffusion on graphs. </w:t>
      </w:r>
      <w:r>
        <w:rPr>
          <w:i/>
          <w:iCs/>
          <w:sz w:val="18"/>
          <w:szCs w:val="18"/>
        </w:rPr>
        <w:t xml:space="preserve">NeurIPS</w:t>
      </w:r>
      <w:r>
        <w:rPr>
          <w:sz w:val="18"/>
          <w:szCs w:val="18"/>
        </w:rPr>
        <w:t xml:space="preserve">.</w:t>
      </w:r>
    </w:p>
    <w:p>
      <w:pPr>
        <w:pStyle w:val="ListParagraph"/>
        <w:numPr>
          <w:ilvl w:val="0"/>
          <w:numId w:val="3"/>
        </w:numPr>
        <w:spacing w:after="50" w:line="252"/>
      </w:pPr>
      <w:r>
        <w:rPr>
          <w:sz w:val="18"/>
          <w:szCs w:val="18"/>
        </w:rPr>
        <w:t xml:space="preserve">Choi J., Hong S., Park N., Cho S.-B. (2023). GREAD: Graph neural reaction-diffusion networks. </w:t>
      </w:r>
      <w:r>
        <w:rPr>
          <w:i/>
          <w:iCs/>
          <w:sz w:val="18"/>
          <w:szCs w:val="18"/>
        </w:rPr>
        <w:t xml:space="preserve">ICML</w:t>
      </w:r>
      <w:r>
        <w:rPr>
          <w:sz w:val="18"/>
          <w:szCs w:val="18"/>
        </w:rPr>
        <w:t xml:space="preserve">.</w:t>
      </w:r>
    </w:p>
    <w:p>
      <w:pPr>
        <w:pStyle w:val="ListParagraph"/>
        <w:numPr>
          <w:ilvl w:val="0"/>
          <w:numId w:val="3"/>
        </w:numPr>
        <w:spacing w:after="50" w:line="252"/>
      </w:pPr>
      <w:r>
        <w:rPr>
          <w:sz w:val="18"/>
          <w:szCs w:val="18"/>
        </w:rPr>
        <w:t xml:space="preserve">Mordvintsev A., Randazzo E., Niklasson E., Levin M. (2020). Growing neural cellular automata. </w:t>
      </w:r>
      <w:r>
        <w:rPr>
          <w:i/>
          <w:iCs/>
          <w:sz w:val="18"/>
          <w:szCs w:val="18"/>
        </w:rPr>
        <w:t xml:space="preserve">Distill</w:t>
      </w:r>
      <w:r>
        <w:rPr>
          <w:sz w:val="18"/>
          <w:szCs w:val="18"/>
        </w:rPr>
        <w:t xml:space="preserve">.</w:t>
      </w:r>
    </w:p>
    <w:p>
      <w:pPr>
        <w:pStyle w:val="ListParagraph"/>
        <w:numPr>
          <w:ilvl w:val="0"/>
          <w:numId w:val="3"/>
        </w:numPr>
        <w:spacing w:after="50" w:line="252"/>
      </w:pPr>
      <w:r>
        <w:rPr>
          <w:sz w:val="18"/>
          <w:szCs w:val="18"/>
        </w:rPr>
        <w:t xml:space="preserve">Hu X., Li F., Samaras D., Chen C. (2019). Topology-preserving deep image segmentation. </w:t>
      </w:r>
      <w:r>
        <w:rPr>
          <w:i/>
          <w:iCs/>
          <w:sz w:val="18"/>
          <w:szCs w:val="18"/>
        </w:rPr>
        <w:t xml:space="preserve">NeurIPS</w:t>
      </w:r>
      <w:r>
        <w:rPr>
          <w:sz w:val="18"/>
          <w:szCs w:val="18"/>
        </w:rPr>
        <w:t xml:space="preserve">.</w:t>
      </w:r>
    </w:p>
    <w:p>
      <w:pPr>
        <w:pStyle w:val="ListParagraph"/>
        <w:numPr>
          <w:ilvl w:val="0"/>
          <w:numId w:val="3"/>
        </w:numPr>
        <w:spacing w:after="50" w:line="252"/>
      </w:pPr>
      <w:r>
        <w:rPr>
          <w:sz w:val="18"/>
          <w:szCs w:val="18"/>
        </w:rPr>
        <w:t xml:space="preserve">Ronneberger O., Fischer P., Brox T. (2015). U-Net: Convolutional networks for biomedical image segmentation. </w:t>
      </w:r>
      <w:r>
        <w:rPr>
          <w:i/>
          <w:iCs/>
          <w:sz w:val="18"/>
          <w:szCs w:val="18"/>
        </w:rPr>
        <w:t xml:space="preserve">MICCAI</w:t>
      </w:r>
      <w:r>
        <w:rPr>
          <w:sz w:val="18"/>
          <w:szCs w:val="18"/>
        </w:rPr>
        <w:t xml:space="preserve">.</w:t>
      </w:r>
    </w:p>
    <w:p>
      <w:pPr>
        <w:pStyle w:val="ListParagraph"/>
        <w:numPr>
          <w:ilvl w:val="0"/>
          <w:numId w:val="3"/>
        </w:numPr>
        <w:spacing w:after="50" w:line="252"/>
      </w:pPr>
      <w:r>
        <w:rPr>
          <w:sz w:val="18"/>
          <w:szCs w:val="18"/>
        </w:rPr>
        <w:t xml:space="preserve">Raissi M., Perdikaris P., Karniadakis G.E. (2019). Physics-informed neural networks. </w:t>
      </w:r>
      <w:r>
        <w:rPr>
          <w:i/>
          <w:iCs/>
          <w:sz w:val="18"/>
          <w:szCs w:val="18"/>
        </w:rPr>
        <w:t xml:space="preserve">J. Comput. Phys.</w:t>
      </w:r>
      <w:r>
        <w:rPr>
          <w:sz w:val="18"/>
          <w:szCs w:val="18"/>
        </w:rPr>
        <w:t xml:space="preserve"> 378, 686–707.</w:t>
      </w:r>
    </w:p>
    <w:p>
      <w:r>
        <w:br w:type="page"/>
      </w:r>
    </w:p>
    <w:p>
      <w:pPr>
        <w:pStyle w:val="Heading1"/>
      </w:pPr>
      <w:r>
        <w:rPr>
          <w:color w:val="7FB3C8"/>
        </w:rPr>
        <w:t xml:space="preserve">12  </w:t>
      </w:r>
      <w:r>
        <w:t xml:space="preserve">Author contributions, AI assistance and citation</w:t>
      </w:r>
    </w:p>
    <w:p>
      <w:pPr>
        <w:pStyle w:val="Heading2"/>
      </w:pPr>
      <w:r>
        <w:t xml:space="preserve">Author contributions</w:t>
      </w:r>
    </w:p>
    <w:p>
      <w:pPr>
        <w:spacing w:after="120" w:line="288"/>
        <w:jc w:val="both"/>
      </w:pPr>
      <w:r>
        <w:t xml:space="preserve">I, </w:t>
      </w:r>
      <w:r>
        <w:rPr>
          <w:b/>
          <w:bCs/>
        </w:rPr>
        <w:t xml:space="preserve">Pavan Kumar Krovvidi</w:t>
      </w:r>
      <w:r>
        <w:t xml:space="preserve">, conceived the FingerWave idea and its biological framing, set the research direction, decided which issues to fix and which experiments to run, chose the benchmark and ablations, and own the method, name and code.</w:t>
      </w:r>
    </w:p>
    <w:p>
      <w:pPr>
        <w:pStyle w:val="Heading2"/>
      </w:pPr>
      <w:r>
        <w:t xml:space="preserve">AI assistance</w:t>
      </w:r>
    </w:p>
    <w:p>
      <w:pPr>
        <w:spacing w:after="120" w:line="288"/>
        <w:jc w:val="both"/>
      </w:pPr>
      <w:r>
        <w:t xml:space="preserve">I used AI assistance (</w:t>
      </w:r>
      <w:r>
        <w:rPr>
          <w:b/>
          <w:bCs/>
        </w:rPr>
        <w:t xml:space="preserve">Claude, Anthropic</w:t>
      </w:r>
      <w:r>
        <w:t xml:space="preserve">) during this work, for coding, testing, reviewing my design and writing this report. The ideas, decisions and research direction are my own. All results come from executed code and can be reproduced with the released scripts.</w:t>
      </w:r>
    </w:p>
    <w:p>
      <w:pPr>
        <w:pStyle w:val="Heading2"/>
      </w:pPr>
      <w:r>
        <w:t xml:space="preserve">How to cite</w:t>
      </w:r>
    </w:p>
    <w:p>
      <w:pPr>
        <w:shd w:fill="F4F6F8" w:color="auto" w:val="clear"/>
        <w:spacing w:after="0" w:line="252"/>
      </w:pPr>
      <w:r>
        <w:rPr>
          <w:rFonts w:ascii="Consolas" w:cs="Consolas" w:eastAsia="Consolas" w:hAnsi="Consolas"/>
          <w:color w:val="1B2430"/>
          <w:sz w:val="16"/>
          <w:szCs w:val="16"/>
        </w:rPr>
        <w:t xml:space="preserve">Krovvidi, P. K. (2026). Pavan Krovvidi FingerWave Neural Network: A Biologically</w:t>
      </w:r>
    </w:p>
    <w:p>
      <w:pPr>
        <w:shd w:fill="F4F6F8" w:color="auto" w:val="clear"/>
        <w:spacing w:after="0" w:line="252"/>
      </w:pPr>
      <w:r>
        <w:rPr>
          <w:rFonts w:ascii="Consolas" w:cs="Consolas" w:eastAsia="Consolas" w:hAnsi="Consolas"/>
          <w:color w:val="1B2430"/>
          <w:sz w:val="16"/>
          <w:szCs w:val="16"/>
        </w:rPr>
        <w:t xml:space="preserve">Inspired, Boundary-Seeded Neural PDE. Research Report v1.0.</w:t>
      </w:r>
    </w:p>
    <w:p>
      <w:pPr>
        <w:shd w:fill="F4F6F8" w:color="auto" w:val="clear"/>
        <w:spacing w:after="0" w:line="252"/>
      </w:pPr>
      <w:r>
        <w:rPr>
          <w:rFonts w:ascii="Consolas" w:cs="Consolas" w:eastAsia="Consolas" w:hAnsi="Consolas"/>
          <w:color w:val="1B2430"/>
          <w:sz w:val="16"/>
          <w:szCs w:val="16"/>
        </w:rPr>
        <w:t xml:space="preserve"/>
      </w:r>
    </w:p>
    <w:p>
      <w:pPr>
        <w:shd w:fill="F4F6F8" w:color="auto" w:val="clear"/>
        <w:spacing w:after="0" w:line="252"/>
      </w:pPr>
      <w:r>
        <w:rPr>
          <w:rFonts w:ascii="Consolas" w:cs="Consolas" w:eastAsia="Consolas" w:hAnsi="Consolas"/>
          <w:color w:val="1B2430"/>
          <w:sz w:val="16"/>
          <w:szCs w:val="16"/>
        </w:rPr>
        <w:t xml:space="preserve">@misc{krovvidi2026fingerwave,</w:t>
      </w:r>
    </w:p>
    <w:p>
      <w:pPr>
        <w:shd w:fill="F4F6F8" w:color="auto" w:val="clear"/>
        <w:spacing w:after="0" w:line="252"/>
      </w:pPr>
      <w:r>
        <w:rPr>
          <w:rFonts w:ascii="Consolas" w:cs="Consolas" w:eastAsia="Consolas" w:hAnsi="Consolas"/>
          <w:color w:val="1B2430"/>
          <w:sz w:val="16"/>
          <w:szCs w:val="16"/>
        </w:rPr>
        <w:t xml:space="preserve">  author = {Krovvidi, Pavan Kumar},</w:t>
      </w:r>
    </w:p>
    <w:p>
      <w:pPr>
        <w:shd w:fill="F4F6F8" w:color="auto" w:val="clear"/>
        <w:spacing w:after="0" w:line="252"/>
      </w:pPr>
      <w:r>
        <w:rPr>
          <w:rFonts w:ascii="Consolas" w:cs="Consolas" w:eastAsia="Consolas" w:hAnsi="Consolas"/>
          <w:color w:val="1B2430"/>
          <w:sz w:val="16"/>
          <w:szCs w:val="16"/>
        </w:rPr>
        <w:t xml:space="preserve">  orcid  = {0009-0001-3286-7173},</w:t>
      </w:r>
    </w:p>
    <w:p>
      <w:pPr>
        <w:shd w:fill="F4F6F8" w:color="auto" w:val="clear"/>
        <w:spacing w:after="0" w:line="252"/>
      </w:pPr>
      <w:r>
        <w:rPr>
          <w:rFonts w:ascii="Consolas" w:cs="Consolas" w:eastAsia="Consolas" w:hAnsi="Consolas"/>
          <w:color w:val="1B2430"/>
          <w:sz w:val="16"/>
          <w:szCs w:val="16"/>
        </w:rPr>
        <w:t xml:space="preserve">  title  = {Pavan Krovvidi FingerWave Neural Network: A Biologically</w:t>
      </w:r>
    </w:p>
    <w:p>
      <w:pPr>
        <w:shd w:fill="F4F6F8" w:color="auto" w:val="clear"/>
        <w:spacing w:after="0" w:line="252"/>
      </w:pPr>
      <w:r>
        <w:rPr>
          <w:rFonts w:ascii="Consolas" w:cs="Consolas" w:eastAsia="Consolas" w:hAnsi="Consolas"/>
          <w:color w:val="1B2430"/>
          <w:sz w:val="16"/>
          <w:szCs w:val="16"/>
        </w:rPr>
        <w:t xml:space="preserve">            Inspired, Boundary-Seeded Neural PDE},</w:t>
      </w:r>
    </w:p>
    <w:p>
      <w:pPr>
        <w:shd w:fill="F4F6F8" w:color="auto" w:val="clear"/>
        <w:spacing w:after="0" w:line="252"/>
      </w:pPr>
      <w:r>
        <w:rPr>
          <w:rFonts w:ascii="Consolas" w:cs="Consolas" w:eastAsia="Consolas" w:hAnsi="Consolas"/>
          <w:color w:val="1B2430"/>
          <w:sz w:val="16"/>
          <w:szCs w:val="16"/>
        </w:rPr>
        <w:t xml:space="preserve">  year   = {2026},</w:t>
      </w:r>
    </w:p>
    <w:p>
      <w:pPr>
        <w:shd w:fill="F4F6F8" w:color="auto" w:val="clear"/>
        <w:spacing w:after="0" w:line="252"/>
      </w:pPr>
      <w:r>
        <w:rPr>
          <w:rFonts w:ascii="Consolas" w:cs="Consolas" w:eastAsia="Consolas" w:hAnsi="Consolas"/>
          <w:color w:val="1B2430"/>
          <w:sz w:val="16"/>
          <w:szCs w:val="16"/>
        </w:rPr>
        <w:t xml:space="preserve">  note   = {Research Report v1.0}</w:t>
      </w:r>
    </w:p>
    <w:p>
      <w:pPr>
        <w:shd w:fill="F4F6F8" w:color="auto" w:val="clear"/>
        <w:spacing w:after="0" w:line="252"/>
      </w:pPr>
      <w:r>
        <w:rPr>
          <w:rFonts w:ascii="Consolas" w:cs="Consolas" w:eastAsia="Consolas" w:hAnsi="Consolas"/>
          <w:color w:val="1B2430"/>
          <w:sz w:val="16"/>
          <w:szCs w:val="16"/>
        </w:rPr>
        <w:t xml:space="preserve">}</w:t>
      </w:r>
    </w:p>
    <w:p>
      <w:pPr>
        <w:spacing w:after="160"/>
      </w:pPr>
    </w:p>
    <w:p>
      <w:pPr>
        <w:pStyle w:val="Heading2"/>
      </w:pPr>
      <w:r>
        <w:t xml:space="preserve">License</w:t>
      </w:r>
    </w:p>
    <w:p>
      <w:pPr>
        <w:spacing w:after="120" w:line="288"/>
        <w:jc w:val="both"/>
      </w:pPr>
      <w:r>
        <w:t xml:space="preserve">Code: Apache License 2.0. Redistributions must keep the copyright notice and the NOTICE file crediting Pavan Kumar Krovvidi.</w:t>
      </w:r>
    </w:p>
    <w:p>
      <w:pPr>
        <w:pStyle w:val="Heading2"/>
      </w:pPr>
      <w:r>
        <w:t xml:space="preserve">Contact</w:t>
      </w:r>
    </w:p>
    <w:p>
      <w:pPr>
        <w:spacing w:after="40" w:line="288"/>
        <w:jc w:val="left"/>
      </w:pPr>
      <w:r>
        <w:t xml:space="preserve">ORCID: orcid.org/0009-0001-3286-7173</w:t>
      </w:r>
    </w:p>
    <w:p>
      <w:pPr>
        <w:spacing w:after="120" w:line="288"/>
        <w:jc w:val="left"/>
      </w:pPr>
      <w:r>
        <w:t xml:space="preserve">pavank9848@gmail.com · github.com/Pavankrovvidi · linkedin.com/in/pavan-kumar-krovvidi-927290250</w:t>
      </w:r>
    </w:p>
    <w:p>
      <w:r>
        <w:br w:type="page"/>
      </w:r>
    </w:p>
    <w:p>
      <w:pPr>
        <w:pStyle w:val="Heading1"/>
      </w:pPr>
      <w:r>
        <w:rPr>
          <w:rFonts w:ascii="Nirmala UI" w:cs="Nirmala UI" w:eastAsia="Nirmala UI" w:hAnsi="Nirmala UI"/>
          <w:color w:val="7FB3C8"/>
        </w:rPr>
        <w:t xml:space="preserve">తెలుగు  </w:t>
      </w:r>
      <w:r>
        <w:rPr>
          <w:rFonts w:ascii="Nirmala UI" w:cs="Nirmala UI" w:eastAsia="Nirmala UI" w:hAnsi="Nirmala UI"/>
        </w:rPr>
        <w:t xml:space="preserve">సారాంశం</w:t>
      </w:r>
    </w:p>
    <w:p>
      <w:pPr>
        <w:spacing w:after="160" w:line="320"/>
      </w:pPr>
      <w:r>
        <w:rPr>
          <w:rFonts w:ascii="Nirmala UI" w:cs="Nirmala UI" w:eastAsia="Nirmala UI" w:hAnsi="Nirmala UI"/>
          <w:b/>
          <w:bCs/>
          <w:sz w:val="20"/>
          <w:szCs w:val="20"/>
        </w:rPr>
        <w:t xml:space="preserve">నా ఆలోచన: </w:t>
      </w:r>
      <w:r>
        <w:rPr>
          <w:rFonts w:ascii="Nirmala UI" w:cs="Nirmala UI" w:eastAsia="Nirmala UI" w:hAnsi="Nirmala UI"/>
          <w:sz w:val="20"/>
          <w:szCs w:val="20"/>
        </w:rPr>
        <w:t xml:space="preserve">గర్భంలో శిశువు వేలిముద్రలు కొన్ని నమ్మకమైన స్థానాల (అంచుల) నుండి మొదలై, అలలలాగా లోపలికి వ్యాపిస్తాయి. ఆ అలలు కలిసే చోట cores మరియు deltas ఏర్పడతాయి. </w:t>
      </w:r>
      <w:r>
        <w:rPr>
          <w:rFonts w:ascii="Nirmala UI" w:cs="Nirmala UI" w:eastAsia="Nirmala UI" w:hAnsi="Nirmala UI"/>
          <w:b/>
          <w:bCs/>
          <w:sz w:val="20"/>
          <w:szCs w:val="20"/>
        </w:rPr>
        <w:t xml:space="preserve">Pavan Krovvidi FingerWave Neural Network</w:t>
      </w:r>
      <w:r>
        <w:rPr>
          <w:rFonts w:ascii="Nirmala UI" w:cs="Nirmala UI" w:eastAsia="Nirmala UI" w:hAnsi="Nirmala UI"/>
          <w:sz w:val="20"/>
          <w:szCs w:val="20"/>
        </w:rPr>
        <w:t xml:space="preserve"> ఇదే సూత్రాన్ని AI లోకి తీసుకువస్తుంది: ముందు నమ్మదగిన భాగాల నుండి మొదలుపెట్టి, అక్కడి నుండి సమాచారాన్ని physics నియమాల ప్రకారం తెలియని భాగాల్లోకి ప్రవహింపజేస్తుంది.</w:t>
      </w:r>
    </w:p>
    <w:p>
      <w:pPr>
        <w:spacing w:after="160" w:line="320"/>
      </w:pPr>
      <w:r>
        <w:rPr>
          <w:rFonts w:ascii="Nirmala UI" w:cs="Nirmala UI" w:eastAsia="Nirmala UI" w:hAnsi="Nirmala UI"/>
          <w:b/>
          <w:bCs/>
          <w:sz w:val="20"/>
          <w:szCs w:val="20"/>
        </w:rPr>
        <w:t xml:space="preserve">మూడు భాగాలు: </w:t>
      </w:r>
      <w:r>
        <w:rPr>
          <w:rFonts w:ascii="Nirmala UI" w:cs="Nirmala UI" w:eastAsia="Nirmala UI" w:hAnsi="Nirmala UI"/>
          <w:sz w:val="20"/>
          <w:szCs w:val="20"/>
        </w:rPr>
        <w:t xml:space="preserve">(1) Boundary seeding: ఏ pixel నమ్మదగినదో చెప్పే confidence map. (2) Wavefront PDE: stable గా ఉండే reaction–diffusion layer. (3) Topological loss: నకిలీ cores/deltas రాకుండా చూసే, gradient ఉండే loss.</w:t>
      </w:r>
    </w:p>
    <w:p>
      <w:pPr>
        <w:spacing w:after="160" w:line="320"/>
      </w:pPr>
      <w:r>
        <w:rPr>
          <w:rFonts w:ascii="Nirmala UI" w:cs="Nirmala UI" w:eastAsia="Nirmala UI" w:hAnsi="Nirmala UI"/>
          <w:b/>
          <w:bCs/>
          <w:sz w:val="20"/>
          <w:szCs w:val="20"/>
        </w:rPr>
        <w:t xml:space="preserve">పరిశోధన ప్రయాణం: </w:t>
      </w:r>
      <w:r>
        <w:rPr>
          <w:rFonts w:ascii="Nirmala UI" w:cs="Nirmala UI" w:eastAsia="Nirmala UI" w:hAnsi="Nirmala UI"/>
          <w:sz w:val="20"/>
          <w:szCs w:val="20"/>
        </w:rPr>
        <w:t xml:space="preserve">మొదటి version లో 7 సాంకేతిక లోపాలు దొరికాయి. ముఖ్యంగా topological loss కి gradient సున్నాగా ఉంది, అంటే అది ఏమీ నేర్పడం లేదు. ప్రతి లోపాన్ని test తో నిర్ధారించి సరిచేశాను. దారిలో ఇంకా 3 bugs దొరికాయి, వాటిని కూడా సరిచేశాను. ఈ report లో విజయాలతో పాటు ఆ తప్పులను కూడా నిజాయితీగా చూపించాను.</w:t>
      </w:r>
    </w:p>
    <w:p>
      <w:pPr>
        <w:spacing w:after="160" w:line="320"/>
      </w:pPr>
      <w:r>
        <w:rPr>
          <w:rFonts w:ascii="Nirmala UI" w:cs="Nirmala UI" w:eastAsia="Nirmala UI" w:hAnsi="Nirmala UI"/>
          <w:b/>
          <w:bCs/>
          <w:sz w:val="20"/>
          <w:szCs w:val="20"/>
        </w:rPr>
        <w:t xml:space="preserve">ఫలితాలు: </w:t>
      </w:r>
      <w:r>
        <w:rPr>
          <w:rFonts w:ascii="Nirmala UI" w:cs="Nirmala UI" w:eastAsia="Nirmala UI" w:hAnsi="Nirmala UI"/>
          <w:sz w:val="20"/>
          <w:szCs w:val="20"/>
        </w:rPr>
        <w:t xml:space="preserve">ఖచ్చితమైన ground truth ఉన్న 500 benchmark fingerprints పై, అదే పరిమాణం ఉన్న U-Net తో పోలిస్తే FingerWave topology errors ను </w:t>
      </w:r>
      <w:r>
        <w:rPr>
          <w:rFonts w:ascii="Nirmala UI" w:cs="Nirmala UI" w:eastAsia="Nirmala UI" w:hAnsi="Nirmala UI"/>
          <w:b/>
          <w:bCs/>
          <w:sz w:val="20"/>
          <w:szCs w:val="20"/>
        </w:rPr>
        <w:t xml:space="preserve">5.8% నుండి 4.0% కి (~31% తక్కువ)</w:t>
      </w:r>
      <w:r>
        <w:rPr>
          <w:rFonts w:ascii="Nirmala UI" w:cs="Nirmala UI" w:eastAsia="Nirmala UI" w:hAnsi="Nirmala UI"/>
          <w:sz w:val="20"/>
          <w:szCs w:val="20"/>
        </w:rPr>
        <w:t xml:space="preserve"> తగ్గించింది. Class accuracy </w:t>
      </w:r>
      <w:r>
        <w:rPr>
          <w:rFonts w:ascii="Nirmala UI" w:cs="Nirmala UI" w:eastAsia="Nirmala UI" w:hAnsi="Nirmala UI"/>
          <w:b/>
          <w:bCs/>
          <w:sz w:val="20"/>
          <w:szCs w:val="20"/>
        </w:rPr>
        <w:t xml:space="preserve">96.0%</w:t>
      </w:r>
      <w:r>
        <w:rPr>
          <w:rFonts w:ascii="Nirmala UI" w:cs="Nirmala UI" w:eastAsia="Nirmala UI" w:hAnsi="Nirmala UI"/>
          <w:sz w:val="20"/>
          <w:szCs w:val="20"/>
        </w:rPr>
        <w:t xml:space="preserve"> వచ్చింది, మరియు దాచిన భాగాల్లో దిశ error కూడా అత్యంత తక్కువగా వచ్చింది. మూడు seeds లోనూ ఫలితం స్థిరంగా ఉంది.</w:t>
      </w:r>
    </w:p>
    <w:p>
      <w:pPr>
        <w:spacing w:after="160" w:line="320"/>
      </w:pPr>
      <w:r>
        <w:rPr>
          <w:rFonts w:ascii="Nirmala UI" w:cs="Nirmala UI" w:eastAsia="Nirmala UI" w:hAnsi="Nirmala UI"/>
          <w:b/>
          <w:bCs/>
          <w:sz w:val="20"/>
          <w:szCs w:val="20"/>
        </w:rPr>
        <w:t xml:space="preserve">Ablation నేర్పిన పాఠం: </w:t>
      </w:r>
      <w:r>
        <w:rPr>
          <w:rFonts w:ascii="Nirmala UI" w:cs="Nirmala UI" w:eastAsia="Nirmala UI" w:hAnsi="Nirmala UI"/>
          <w:sz w:val="20"/>
          <w:szCs w:val="20"/>
        </w:rPr>
        <w:t xml:space="preserve">"అంచుల నుండి మొదలుపెట్టడం" (seeding) అనే biological ఆలోచనే అసలైన శక్తి. అది తీసేస్తే algorithm కూలిపోయింది. Direction ప్రకారం ప్రవాహం (anisotropy) ఈ test లో అదనపు లాభం ఇవ్వలేదు. ఈ విషయాన్ని కూడా నిజాయితీగా నమోదు చేశాను.</w:t>
      </w:r>
    </w:p>
    <w:p>
      <w:pPr>
        <w:spacing w:after="160" w:line="320"/>
      </w:pPr>
      <w:r>
        <w:rPr>
          <w:rFonts w:ascii="Nirmala UI" w:cs="Nirmala UI" w:eastAsia="Nirmala UI" w:hAnsi="Nirmala UI"/>
          <w:b/>
          <w:bCs/>
          <w:sz w:val="20"/>
          <w:szCs w:val="20"/>
        </w:rPr>
        <w:t xml:space="preserve">నా పాత్ర: </w:t>
      </w:r>
      <w:r>
        <w:rPr>
          <w:rFonts w:ascii="Nirmala UI" w:cs="Nirmala UI" w:eastAsia="Nirmala UI" w:hAnsi="Nirmala UI"/>
          <w:sz w:val="20"/>
          <w:szCs w:val="20"/>
        </w:rPr>
        <w:t xml:space="preserve">ఈ పరిశోధనలోని అన్ని ఆలోచనలు, నిర్ణయాలు, మరియు research దిశ నావే.</w:t>
      </w:r>
    </w:p>
    <w:p>
      <w:pPr>
        <w:spacing w:after="160" w:line="320"/>
      </w:pPr>
      <w:r>
        <w:rPr>
          <w:rFonts w:ascii="Nirmala UI" w:cs="Nirmala UI" w:eastAsia="Nirmala UI" w:hAnsi="Nirmala UI"/>
          <w:b/>
          <w:bCs/>
          <w:sz w:val="20"/>
          <w:szCs w:val="20"/>
        </w:rPr>
        <w:t xml:space="preserve">తదుపరి దశలు: </w:t>
      </w:r>
      <w:r>
        <w:rPr>
          <w:rFonts w:ascii="Nirmala UI" w:cs="Nirmala UI" w:eastAsia="Nirmala UI" w:hAnsi="Nirmala UI"/>
          <w:sz w:val="20"/>
          <w:szCs w:val="20"/>
        </w:rPr>
        <w:t xml:space="preserve">FVC, NIST వంటి నిజమైన fingerprint databases పై validation, GPU తో పెద్ద scale training, మరియు drug discovery (electrostatics) లో ఉపయోగం.</w:t>
      </w:r>
    </w:p>
    <w:p>
      <w:pPr>
        <w:spacing w:before="240"/>
      </w:pPr>
      <w:r>
        <w:rPr>
          <w:rFonts w:ascii="Nirmala UI" w:cs="Nirmala UI" w:eastAsia="Nirmala UI" w:hAnsi="Nirmala UI"/>
          <w:b/>
          <w:bCs/>
          <w:color w:val="154F63"/>
          <w:sz w:val="21"/>
          <w:szCs w:val="21"/>
        </w:rPr>
        <w:t xml:space="preserve">“ప్రతి జీవితానికి ఒక ప్రత్యేకమైన ముద్ర ఉంటుంది. ప్రతి prediction కి కూడా.”</w:t>
      </w:r>
    </w:p>
    <w:p>
      <w:r>
        <w:rPr>
          <w:rFonts w:ascii="Nirmala UI" w:cs="Nirmala UI" w:eastAsia="Nirmala UI" w:hAnsi="Nirmala UI"/>
          <w:color w:val="4A5563"/>
          <w:sz w:val="20"/>
          <w:szCs w:val="20"/>
        </w:rPr>
        <w:t xml:space="preserve">— పవన్ కుమార్ క్రొవ్విడి</w:t>
      </w:r>
    </w:p>
    <w:sectPr>
      <w:footerReference w:type="default" r:id="rId6"/>
      <w:pgSz w:w="11906" w:h="16838" w:orient="portrait"/>
      <w:pgMar w:top="1134" w:right="1077" w:bottom="1134" w:left="1077" w:header="708" w:footer="500" w:gutter="0"/>
      <w:pgNumType/>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tabs>
        <w:tab w:val="right" w:pos="9752"/>
      </w:tabs>
    </w:pPr>
    <w:r>
      <w:rPr>
        <w:rFonts w:ascii="Calibri" w:cs="Calibri" w:eastAsia="Calibri" w:hAnsi="Calibri"/>
        <w:color w:val="7A8494"/>
        <w:sz w:val="14"/>
        <w:szCs w:val="14"/>
      </w:rPr>
      <w:t xml:space="preserve">Pavan Kumar Krovvidi · Pavan Krovvidi FingerWave Neural Network · Research Report v1.0</w:t>
    </w:r>
    <w:r>
      <w:rPr>
        <w:rFonts w:ascii="Calibri" w:cs="Calibri" w:eastAsia="Calibri" w:hAnsi="Calibri"/>
        <w:color w:val="7A8494"/>
        <w:sz w:val="14"/>
        <w:szCs w:val="14"/>
      </w:rPr>
      <w:t xml:space="preserve">	Page </w:t>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tentative="1">
      <w:start w:val="1"/>
      <w:numFmt w:val="bullet"/>
      <w:lvlText w:val="●"/>
      <w:lvlJc w:val="left"/>
      <w:pPr>
        <w:ind w:left="720" w:hanging="360"/>
      </w:pPr>
    </w:lvl>
    <w:lvl w:ilvl="1" w:tentative="1">
      <w:start w:val="1"/>
      <w:numFmt w:val="bullet"/>
      <w:lvlText w:val="○"/>
      <w:lvlJc w:val="left"/>
      <w:pPr>
        <w:ind w:left="1440" w:hanging="360"/>
      </w:pPr>
    </w:lvl>
    <w:lvl w:ilvl="2" w:tentative="1">
      <w:start w:val="1"/>
      <w:numFmt w:val="bullet"/>
      <w:lvlText w:val="■"/>
      <w:lvlJc w:val="left"/>
      <w:pPr>
        <w:ind w:left="2160" w:hanging="360"/>
      </w:pPr>
    </w:lvl>
    <w:lvl w:ilvl="3" w:tentative="1">
      <w:start w:val="1"/>
      <w:numFmt w:val="bullet"/>
      <w:lvlText w:val="●"/>
      <w:lvlJc w:val="left"/>
      <w:pPr>
        <w:ind w:left="2880" w:hanging="360"/>
      </w:pPr>
    </w:lvl>
    <w:lvl w:ilvl="4" w:tentative="1">
      <w:start w:val="1"/>
      <w:numFmt w:val="bullet"/>
      <w:lvlText w:val="○"/>
      <w:lvlJc w:val="left"/>
      <w:pPr>
        <w:ind w:left="3600" w:hanging="360"/>
      </w:pPr>
    </w:lvl>
    <w:lvl w:ilvl="5" w:tentative="1">
      <w:start w:val="1"/>
      <w:numFmt w:val="bullet"/>
      <w:lvlText w:val="■"/>
      <w:lvlJc w:val="left"/>
      <w:pPr>
        <w:ind w:left="4320" w:hanging="360"/>
      </w:pPr>
    </w:lvl>
    <w:lvl w:ilvl="6" w:tentative="1">
      <w:start w:val="1"/>
      <w:numFmt w:val="bullet"/>
      <w:lvlText w:val="●"/>
      <w:lvlJc w:val="left"/>
      <w:pPr>
        <w:ind w:left="5040" w:hanging="360"/>
      </w:pPr>
    </w:lvl>
    <w:lvl w:ilvl="7" w:tentative="1">
      <w:start w:val="1"/>
      <w:numFmt w:val="bullet"/>
      <w:lvlText w:val="●"/>
      <w:lvlJc w:val="left"/>
      <w:pPr>
        <w:ind w:left="5760" w:hanging="360"/>
      </w:pPr>
    </w:lvl>
    <w:lvl w:ilvl="8" w:tentative="1">
      <w:start w:val="1"/>
      <w:numFmt w:val="bullet"/>
      <w:lvlText w:val="●"/>
      <w:lvlJc w:val="left"/>
      <w:pPr>
        <w:ind w:left="6480" w:hanging="360"/>
      </w:pPr>
    </w:lvl>
  </w:abstractNum>
  <w:abstractNum w:abstractNumId="2" w15:restartNumberingAfterBreak="0">
    <w:multiLevelType w:val="hybridMultilevel"/>
    <w:lvl w:ilvl="0" w:tentative="1">
      <w:start w:val="1"/>
      <w:numFmt w:val="bullet"/>
      <w:lvlText w:val="•"/>
      <w:lvlJc w:val="left"/>
      <w:pPr>
        <w:ind w:left="400" w:hanging="260"/>
      </w:pPr>
    </w:lvl>
  </w:abstractNum>
  <w:abstractNum w:abstractNumId="3" w15:restartNumberingAfterBreak="0">
    <w:multiLevelType w:val="hybridMultilevel"/>
    <w:lvl w:ilvl="0" w:tentative="1">
      <w:start w:val="1"/>
      <w:numFmt w:val="decimal"/>
      <w:lvlText w:val="%1."/>
      <w:lvlJc w:val="left"/>
      <w:pPr>
        <w:ind w:left="44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mbria" w:cs="Cambria" w:eastAsia="Cambria" w:hAnsi="Cambria"/>
        <w:color w:val="1B2430"/>
        <w:sz w:val="20"/>
        <w:szCs w:val="20"/>
      </w:rPr>
    </w:rPrDefault>
    <w:pPrDefault/>
  </w:docDefaults>
  <w:style w:type="paragraph" w:styleId="Normal" w:default="1">
    <w:name w:val="Normal"/>
    <w:qFormat/>
  </w:style>
  <w:style w:type="paragraph" w:styleId="Title">
    <w:name w:val="Title"/>
    <w:basedOn w:val="Normal"/>
    <w:next w:val="Normal"/>
    <w:qFormat/>
    <w:rPr>
      <w:sz w:val="56"/>
      <w:szCs w:val="5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keepNext/>
      <w:spacing w:after="160" w:before="120"/>
      <w:outlineLvl w:val="0"/>
    </w:pPr>
    <w:rPr>
      <w:rFonts w:ascii="Calibri" w:cs="Calibri" w:eastAsia="Calibri" w:hAnsi="Calibri"/>
      <w:b/>
      <w:bCs/>
      <w:color w:val="154F63"/>
      <w:sz w:val="32"/>
      <w:szCs w:val="32"/>
    </w:rPr>
  </w:style>
  <w:style w:type="paragraph" w:styleId="Heading2">
    <w:name w:val="Heading 2"/>
    <w:basedOn w:val="Normal"/>
    <w:next w:val="Normal"/>
    <w:qFormat/>
    <w:pPr>
      <w:keepNext/>
      <w:spacing w:after="80" w:before="200"/>
      <w:outlineLvl w:val="1"/>
    </w:pPr>
    <w:rPr>
      <w:rFonts w:ascii="Calibri" w:cs="Calibri" w:eastAsia="Calibri" w:hAnsi="Calibri"/>
      <w:b/>
      <w:bCs/>
      <w:color w:val="1B2430"/>
      <w:sz w:val="22"/>
      <w:szCs w:val="22"/>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footer" Target="footer1.xml"/><Relationship Id="rId7" Type="http://schemas.openxmlformats.org/officeDocument/2006/relationships/theme" Target="theme/theme1.xml"/><Relationship Id="rId8" Type="http://schemas.openxmlformats.org/officeDocument/2006/relationships/image" Target="media/616b8e84cb37c5072ced8399c1795515dfc94318.jpg"/><Relationship Id="rId9" Type="http://schemas.openxmlformats.org/officeDocument/2006/relationships/image" Target="media/9123bfe5cbb85d33b514503dff8714f6b7fe63f1.png"/><Relationship Id="rId10" Type="http://schemas.openxmlformats.org/officeDocument/2006/relationships/image" Target="media/c00adeb907a61d90721aa2d2586bcc7beffa4301.png"/><Relationship Id="rId11" Type="http://schemas.openxmlformats.org/officeDocument/2006/relationships/image" Target="media/0a4636258432f03326d57daa2625355e32ac719c.png"/><Relationship Id="rId12" Type="http://schemas.openxmlformats.org/officeDocument/2006/relationships/image" Target="media/dfcf7773a068dc2def1bf2dc74fed19469636f76.png"/><Relationship Id="rId13" Type="http://schemas.openxmlformats.org/officeDocument/2006/relationships/image" Target="media/5ce221ace6ce610262f5433e36f8c063a2b15cea.png"/><Relationship Id="rId14" Type="http://schemas.openxmlformats.org/officeDocument/2006/relationships/image" Target="media/8044fb9c2f33393c1aa03a15bdbf1737f4bbfc66.png"/><Relationship Id="rId15" Type="http://schemas.openxmlformats.org/officeDocument/2006/relationships/image" Target="media/7a240966d8845abf746579941bb04327f541970d.png"/><Relationship Id="rId16"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true">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false"/>
        </a:gradFill>
        <a:gradFill rotWithShape="true">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false"/>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false">
              <a:srgbClr val="000000">
                <a:alpha val="63000"/>
              </a:srgbClr>
            </a:outerShdw>
          </a:effectLst>
        </a:effectStyle>
      </a:effectStyleLst>
      <a:bgFillStyleLst>
        <a:solidFill>
          <a:schemeClr val="phClr"/>
        </a:solidFill>
        <a:solidFill>
          <a:schemeClr val="phClr">
            <a:tint val="95000"/>
            <a:satMod val="170000"/>
          </a:schemeClr>
        </a:solidFill>
        <a:gradFill rotWithShape="true">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false"/>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Pavan Krovvidi FingerWave Neural Network — Research Report v1.0</dc:title>
  <dc:creator>Pavan Kumar Krovvidi</dc:creator>
  <cp:keywords>FingerWave, Pavan Krovvidi, neural PDE, fingerprint, topology, biologically inspired AI</cp:keywords>
  <dc:description>A biologically inspired, boundary-seeded neural PDE</dc:description>
  <cp:lastModifiedBy>Un-named</cp:lastModifiedBy>
  <cp:revision>1</cp:revision>
  <dcterms:created xsi:type="dcterms:W3CDTF">2026-10-29T08:20:26.625Z</dcterms:created>
  <dcterms:modified xsi:type="dcterms:W3CDTF">2026-10-29T08:20:26.629Z</dcterms:modified>
</cp:coreProperties>
</file>

<file path=docProps/custom.xml><?xml version="1.0" encoding="utf-8"?>
<Properties xmlns="http://schemas.openxmlformats.org/officeDocument/2006/custom-properties" xmlns:vt="http://schemas.openxmlformats.org/officeDocument/2006/docPropsVTypes"/>
</file>