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Executive Summary: Business Outcomes &amp; Optimization Framework</w:t>
      </w:r>
    </w:p>
    <w:p>
      <w:pPr>
        <w:jc w:val="center"/>
      </w:pPr>
      <w:r>
        <w:rPr>
          <w:rFonts w:ascii="Calibri" w:hAnsi="Calibri"/>
          <w:i/>
          <w:color w:val="475569"/>
          <w:sz w:val="22"/>
        </w:rPr>
        <w:t>Comprehensive Breakdown of Business Outcomes, Target Features, SXI Metrics, and Multi-Horizon Goals across Demand Planning, Procurement, and Sales Forecasting</w:t>
      </w:r>
    </w:p>
    <w:p>
      <w:pPr>
        <w:spacing w:after="240"/>
      </w:pPr>
    </w:p>
    <w:p>
      <w:r>
        <w:rPr>
          <w:rFonts w:ascii="Calibri" w:hAnsi="Calibri"/>
          <w:b/>
          <w:color w:val="1E3A8A"/>
          <w:sz w:val="28"/>
        </w:rPr>
        <w:t>1. Master Optimization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Sl. No.</w:t>
            </w:r>
          </w:p>
        </w:tc>
        <w:tc>
          <w:tcPr>
            <w:tcW w:type="dxa" w:w="1656"/>
            <w:shd w:val="clear" w:color="auto"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656"/>
            <w:shd w:val="clear" w:color="auto"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Outcome</w:t>
            </w:r>
          </w:p>
        </w:tc>
        <w:tc>
          <w:tcPr>
            <w:tcW w:type="dxa" w:w="1656"/>
            <w:shd w:val="clear" w:color="auto"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Feature</w:t>
            </w:r>
          </w:p>
        </w:tc>
        <w:tc>
          <w:tcPr>
            <w:tcW w:type="dxa" w:w="1656"/>
            <w:shd w:val="clear" w:color="auto"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Current Baseline</w:t>
            </w:r>
          </w:p>
        </w:tc>
        <w:tc>
          <w:tcPr>
            <w:tcW w:type="dxa" w:w="1656"/>
            <w:shd w:val="clear" w:color="auto"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Long-Term Goal</w:t>
            </w:r>
          </w:p>
        </w:tc>
      </w:tr>
      <w:tr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1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Demand Planning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Stockout Risk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global_plan_demand_quantity (units)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29.3% (12,915 u)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5.8% (2,557 u)</w:t>
            </w:r>
          </w:p>
        </w:tc>
      </w:tr>
      <w:tr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2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Demand Planning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Delivery Lead Time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lead_time (days)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9.0 Days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4.0 Days</w:t>
            </w:r>
          </w:p>
        </w:tc>
      </w:tr>
      <w:tr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3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Demand Planning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Margin Leakage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margin_leakage ($)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21.5% (8,600 orders)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4.3% (1,720 orders)</w:t>
            </w:r>
          </w:p>
        </w:tc>
      </w:tr>
      <w:tr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4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Demand Planning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Inbound Defect Risk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is_high_defect_risk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20.0% (3,200 orders)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4.0% (640 orders)</w:t>
            </w:r>
          </w:p>
        </w:tc>
      </w:tr>
      <w:tr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5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Procurement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Purchase Cost Variance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purchase_cost ($)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5.8% ($248,500)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1.2% ($51,400)</w:t>
            </w:r>
          </w:p>
        </w:tc>
      </w:tr>
      <w:tr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6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Procurement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Inventory Stockout Risk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is_reorder_required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24.2% (1,210 items)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4.8% (242 items)</w:t>
            </w:r>
          </w:p>
        </w:tc>
      </w:tr>
      <w:tr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7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Procurement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Single-Source Supply Risk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is_preferred_supplier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22.3% (111 SKUs)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4.5% (22 SKUs)</w:t>
            </w:r>
          </w:p>
        </w:tc>
      </w:tr>
      <w:tr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8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Procurement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Non-Compliant PO Risk Rate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is_po_compliant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17.8% (712 POs)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3.6% (144 POs)</w:t>
            </w:r>
          </w:p>
        </w:tc>
      </w:tr>
      <w:tr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9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Sales Forecasting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Increase Sales Volume Realization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units_sold (units)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68.8% Accuracy (1,069k u)</w:t>
            </w:r>
          </w:p>
        </w:tc>
        <w:tc>
          <w:tcPr>
            <w:tcW w:type="dxa" w:w="165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96.1% Accuracy (1,494k u)</w:t>
            </w:r>
          </w:p>
        </w:tc>
      </w:tr>
      <w:tr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10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Sales Forecasting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Reduce Forecast Variance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sales_forecast_error (%)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31.2% Variance (±485k $)</w:t>
            </w:r>
          </w:p>
        </w:tc>
        <w:tc>
          <w:tcPr>
            <w:tcW w:type="dxa" w:w="165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5.8% Variance (±90k $)</w:t>
            </w:r>
          </w:p>
        </w:tc>
      </w:tr>
    </w:tbl>
    <w:p>
      <w:pPr>
        <w:spacing w:after="320"/>
      </w:pPr>
    </w:p>
    <w:p>
      <w:r>
        <w:rPr>
          <w:rFonts w:ascii="Calibri" w:hAnsi="Calibri"/>
          <w:b/>
          <w:color w:val="1E3A8A"/>
          <w:sz w:val="28"/>
        </w:rPr>
        <w:t>2. Detailed Business Outcome &amp; Goal Specifications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1. Reduce Stockout Risk </w:t>
      </w:r>
      <w:r>
        <w:rPr>
          <w:rFonts w:ascii="Calibri" w:hAnsi="Calibri"/>
          <w:b/>
          <w:color w:val="2563EB"/>
          <w:sz w:val="22"/>
        </w:rPr>
        <w:t>[Demand Planning]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Eliminate stockouts and buffer shortages across 4 Distribution Centers and 102 SKUs by dynamically balancing stock allocation and customer order fulfillment.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global_plan_demand_quantity (units)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29.3% Stockout Rate (12,915 units out of 44,096 demand)  |  Baseline Driver / SXI: 6.12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23.4% Stockout Rate (10,332 units)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6.72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20.0% reduction (-2,583 units)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14.6% Stockout Rate (6,449 units)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7.62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50.2% reduction (-6,483 units)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5.8% Stockout Rate (2,557 units)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8.52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80.2% reduction (-10,358 units)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2. Reduce Delivery Lead Time </w:t>
      </w:r>
      <w:r>
        <w:rPr>
          <w:rFonts w:ascii="Calibri" w:hAnsi="Calibri"/>
          <w:b/>
          <w:color w:val="2563EB"/>
          <w:sz w:val="22"/>
        </w:rPr>
        <w:t>[Demand Planning]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Compress supplier-to-warehouse transit and receiving cycle times by routing shipments through high-performing logistics carriers and verified suppliers.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lead_time (days)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9.0 Days Average Lead Time  |  Baseline Driver / SXI: 5.95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7.0 Days Average Lead Time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6.65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22.2% reduction (-2.0 Days)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5.5 Days Average Lead Time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7.55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38.9% reduction (-3.5 Days)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4.0 Days Average Lead Time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8.45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55.6% reduction (-5.0 Days)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3. Reduce Margin Leakage </w:t>
      </w:r>
      <w:r>
        <w:rPr>
          <w:rFonts w:ascii="Calibri" w:hAnsi="Calibri"/>
          <w:b/>
          <w:color w:val="2563EB"/>
          <w:sz w:val="22"/>
        </w:rPr>
        <w:t>[Demand Planning]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Prevent margin erosion from excessive wholesale promotional discounting, off-invoice allowances, and unbudgeted spot freight overrides.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margin_leakage ($)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21.5% Margin Leakage Rate (8,600 orders / $175,800)  |  Baseline Driver / SXI: 6.08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17.2% Margin Leakage Rate (6,880 orders)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6.68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20.0% reduction (-1,720 orders / -$35,160)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10.8% Margin Leakage Rate (4,320 orders)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7.58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49.8% reduction (-4,280 orders / -$87,540)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4.3% Margin Leakage Rate (1,720 orders)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8.48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80.0% reduction (-6,880 orders / -$140,640)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4. Reduce Inbound Defect Risk </w:t>
      </w:r>
      <w:r>
        <w:rPr>
          <w:rFonts w:ascii="Calibri" w:hAnsi="Calibri"/>
          <w:b/>
          <w:color w:val="2563EB"/>
          <w:sz w:val="22"/>
        </w:rPr>
        <w:t>[Demand Planning]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Identify and isolate high-risk supplier shipments before warehouse receiving to avoid line stoppages, product quarantine, and quality chargebacks.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is_high_defect_risk (Binary Classification)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20.0% High Defect Risk Rate (3,200 orders out of 16,000)  |  Baseline Driver / SXI: 6.15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16.0% High Defect Risk Rate (2,560 orders)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6.75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20.0% reduction (-640 defective orders)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10.0% High Defect Risk Rate (1,600 orders)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7.65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50.0% reduction (-1,600 defective orders)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4.0% High Defect Risk Rate (640 orders)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8.55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80.0% reduction (-2,560 defective orders)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5. Reduce Purchase Cost Variance </w:t>
      </w:r>
      <w:r>
        <w:rPr>
          <w:rFonts w:ascii="Calibri" w:hAnsi="Calibri"/>
          <w:b/>
          <w:color w:val="2563EB"/>
          <w:sz w:val="22"/>
        </w:rPr>
        <w:t>[Procurement]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Eliminate purchase price variance (PPV) between contracted purchase order prices and invoiced receipts by enforcing automated catalog tier pricing.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purchase_cost ($)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5.8% Cost Variance Rate ($248,500 variance)  |  Baseline Driver / SXI: 6.10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4.6% Cost Variance Rate ($197,100 variance)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6.70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20.7% reduction (-$51,400 saved)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2.9% Cost Variance Rate ($124,250 variance)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7.60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50.0% reduction (-$124,250 saved)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1.2% Cost Variance Rate ($51,400 variance)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8.50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79.3% reduction (-$197,100 saved)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6. Reduce Inventory Stockout Risk </w:t>
      </w:r>
      <w:r>
        <w:rPr>
          <w:rFonts w:ascii="Calibri" w:hAnsi="Calibri"/>
          <w:b/>
          <w:color w:val="2563EB"/>
          <w:sz w:val="22"/>
        </w:rPr>
        <w:t>[Procurement]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Trigger intelligent automated PO reorders based on real-time inventory burn rate and dynamic lead-time buffers to eliminate raw material stockouts.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is_reorder_required (Binary Classification)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24.2% Reorder Stockout Risk Rate (1,210 items)  |  Baseline Driver / SXI: 6.05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19.4% Stockout Risk Rate (970 items)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6.65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19.8% reduction (-240 at-risk SKUs)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12.1% Stockout Risk Rate (605 items)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7.55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50.0% reduction (-605 at-risk SKUs)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4.8% Stockout Risk Rate (242 items)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8.45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80.2% reduction (-968 at-risk SKUs)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7. Reduce Single-Source Supply Risk </w:t>
      </w:r>
      <w:r>
        <w:rPr>
          <w:rFonts w:ascii="Calibri" w:hAnsi="Calibri"/>
          <w:b/>
          <w:color w:val="2563EB"/>
          <w:sz w:val="22"/>
        </w:rPr>
        <w:t>[Procurement]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Qualify secondary and tertiary preferred suppliers for critical SKUs to eliminate single-source dependency and production disruption risks.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is_preferred_supplier (Binary Classification)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22.3% Single-Source High Risk Rate (111 SKUs)  |  Baseline Driver / SXI: 6.18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17.8% Single-Source Risk Rate (89 SKUs)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6.78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20.2% reduction (-22 single-source SKUs)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11.1% Single-Source Risk Rate (55 SKUs)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7.68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50.2% reduction (-56 single-source SKUs)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4.5% Single-Source Risk Rate (22 SKUs)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8.58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79.8% reduction (-89 single-source SKUs)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8. Reduce Non-Compliant PO Risk Rate </w:t>
      </w:r>
      <w:r>
        <w:rPr>
          <w:rFonts w:ascii="Calibri" w:hAnsi="Calibri"/>
          <w:b/>
          <w:color w:val="2563EB"/>
          <w:sz w:val="22"/>
        </w:rPr>
        <w:t>[Procurement]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Enforce mandatory contract pricing rules, approved vendor lists, and delivery window validation to prevent maverick purchasing and invoice disputes.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is_po_compliant (Binary Classification)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17.8% Non-Compliant PO Risk Rate (712 POs out of 4,000)  |  Baseline Driver / SXI: 6.14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14.2% Non-Compliance Rate (568 POs)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6.74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20.2% reduction (-144 non-compliant POs)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8.9% Non-Compliance Rate (356 POs)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7.64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50.0% reduction (-356 non-compliant POs)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3.6% Non-Compliance Rate (144 POs)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8.54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79.8% reduction (-568 non-compliant POs)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9. Increase Sales Volume Realization </w:t>
      </w:r>
      <w:r>
        <w:rPr>
          <w:rFonts w:ascii="Calibri" w:hAnsi="Calibri"/>
          <w:b/>
          <w:color w:val="2563EB"/>
          <w:sz w:val="22"/>
        </w:rPr>
        <w:t>[Sales Forecasting]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Forecast forward-looking consumer demand across 102 SKUs and 4 regional distribution centers using Meta Prophet and Auto-SARIMA time-series models to maximize on-time order fulfillment and capture unmet sales volume.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units_sold (units) [Time-Series Horizon Projection]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68.8% Baseline Accuracy (1,069,000 units realized out of 1.55M demand)  |  Baseline Driver / SXI: N/A (Time-Series Horizon: Historical Moving Average)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88.8% Forecast Accuracy (1,381,000 units)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30-Day Operational Horizon (Base Prophet)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↑ +20.1% accuracy lift (+312,000 units captured)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92.4% Forecast Accuracy (1,437,000 units)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90-Day Tactical Horizon (Prophet + Seasonality)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↑ +23.6% accuracy lift (+368,000 units captured)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96.1% Forecast Accuracy (1,494,000 units)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180-Day Strategic Horizon (AI Hybrid Ensemble)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↑ +27.3% accuracy lift (+425,000 units captured)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6"/>
        </w:rPr>
        <w:t xml:space="preserve">10. Reduce Forecast Variance </w:t>
      </w:r>
      <w:r>
        <w:rPr>
          <w:rFonts w:ascii="Calibri" w:hAnsi="Calibri"/>
          <w:b/>
          <w:color w:val="2563EB"/>
          <w:sz w:val="22"/>
        </w:rPr>
        <w:t>[Sales Forecasting]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Purpose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Minimize absolute prediction error and residual variance between actual point-of-sale (POS) register sales and forecasted demand to eliminate emergency safety buffer stocks and bullwhip distortion.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Feature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sales_forecast_error (%) [MAPE &amp; Residual Variance]</w:t>
            </w:r>
          </w:p>
        </w:tc>
      </w:tr>
      <w:tr>
        <w:tc>
          <w:tcPr>
            <w:tcW w:type="dxa" w:w="49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Current Baseline</w:t>
            </w:r>
          </w:p>
        </w:tc>
        <w:tc>
          <w:tcPr>
            <w:tcW w:type="dxa" w:w="49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31.2% Baseline Forecast Variance / Error (±$485,000 buffer waste)  |  Baseline Driver / SXI: N/A (Time-Series Calibration: Spreadsheets &amp; Naive Benchmarks)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Planning Horizon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Metric / Value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Target SXI / Driver</w:t>
            </w:r>
          </w:p>
        </w:tc>
        <w:tc>
          <w:tcPr>
            <w:tcW w:type="dxa" w:w="2484"/>
            <w:shd w:val="clear" w:color="auto"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Improvement Delta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Short-Term (30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17.9% Forecast Variance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30-Day Parameter Smoothing (Auto-SARIMA Residual Tuning)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42.6% error reduction (-13.3% points / $210k saved)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Mid-Term (90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11.2% Forecast Variance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90-Day Regressor Calibration (Prophet Changepoints)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64.1% error reduction (-20.0% points / $485k saved)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Long-Term (180 Days)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5.8% Forecast Variance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180-Day Automated Calibration (AI Hybrid Ensemble)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B981"/>
                <w:sz w:val="17"/>
              </w:rPr>
              <w:t>↓ 81.4% error reduction (-25.4% points / $640k saved)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