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864"/>
          <w:sz w:val="40"/>
          <w:szCs w:val="40"/>
        </w:rPr>
        <w:t xml:space="preserve">Reverse-Engineering Tooling Assessment</w:t>
      </w:r>
    </w:p>
    <w:p>
      <w:pPr>
        <w:spacing w:after="320"/>
      </w:pPr>
      <w:r>
        <w:rPr>
          <w:rFonts w:ascii="Calibri" w:cs="Calibri" w:eastAsia="Calibri" w:hAnsi="Calibri"/>
          <w:b/>
          <w:bCs/>
          <w:color w:val="2E5496"/>
          <w:sz w:val="30"/>
          <w:szCs w:val="30"/>
        </w:rPr>
        <w:t xml:space="preserve">CAST Imaging and AWS Transform</w:t>
      </w:r>
    </w:p>
    <w:p>
      <w:pPr>
        <w:pBdr>
          <w:bottom w:val="single" w:color="1F3864" w:sz="6"/>
        </w:pBdr>
        <w:spacing w:after="160" w:before="60"/>
      </w:pPr>
      <w:r>
        <w:rPr>
          <w:sz w:val="2"/>
          <w:szCs w:val="2"/>
        </w:rPr>
        <w:t xml:space="preserve"/>
      </w:r>
    </w:p>
    <w:p>
      <w:pPr>
        <w:spacing w:after="90" w:line="240"/>
        <w:jc w:val="left"/>
      </w:pPr>
      <w:r>
        <w:rPr>
          <w:rFonts w:ascii="Calibri" w:cs="Calibri" w:eastAsia="Calibri" w:hAnsi="Calibri"/>
          <w:b w:val="false"/>
          <w:bCs w:val="false"/>
          <w:i w:val="false"/>
          <w:iCs w:val="false"/>
          <w:color w:val="595959"/>
          <w:sz w:val="22"/>
          <w:szCs w:val="22"/>
        </w:rPr>
        <w:t xml:space="preserve">An evidence-based, side-by-side evaluation of two candidate discovery and reverse-engineering platforms for a 142-application IBM z/OS estate exiting to AWS between 2027 and 2029.</w:t>
      </w:r>
    </w:p>
    <w:tbl>
      <w:tblPr>
        <w:tblW w:type="dxa" w:w="9360"/>
        <w:tblBorders>
          <w:top w:val="single" w:color="AEBAC9" w:sz="4"/>
          <w:left w:val="single" w:color="AEBAC9" w:sz="4"/>
          <w:bottom w:val="single" w:color="AEBAC9" w:sz="4"/>
          <w:right w:val="single" w:color="AEBAC9" w:sz="4"/>
          <w:insideH w:val="single" w:color="C9D2DD" w:sz="2"/>
          <w:insideV w:val="single" w:color="C9D2DD" w:sz="2"/>
        </w:tblBorders>
      </w:tblPr>
      <w:tblGrid>
        <w:gridCol w:w="2600"/>
        <w:gridCol w:w="6760"/>
      </w:tblGrid>
      <w:tr>
        <w:trPr>
          <w:cantSplit/>
        </w:trPr>
        <w:tc>
          <w:tcPr>
            <w:tcW w:type="dxa" w:w="2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Document type</w:t>
            </w:r>
          </w:p>
        </w:tc>
        <w:tc>
          <w:tcPr>
            <w:tcW w:type="dxa" w:w="67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Technical evaluation and recommendation</w:t>
            </w:r>
          </w:p>
        </w:tc>
      </w:tr>
      <w:tr>
        <w:trPr>
          <w:cantSplit/>
        </w:trPr>
        <w:tc>
          <w:tcPr>
            <w:tcW w:type="dxa" w:w="2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Research performed</w:t>
            </w:r>
          </w:p>
        </w:tc>
        <w:tc>
          <w:tcPr>
            <w:tcW w:type="dxa" w:w="67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14 August 2026</w:t>
            </w:r>
          </w:p>
        </w:tc>
      </w:tr>
      <w:tr>
        <w:trPr>
          <w:cantSplit/>
        </w:trPr>
        <w:tc>
          <w:tcPr>
            <w:tcW w:type="dxa" w:w="2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Evidence standard</w:t>
            </w:r>
          </w:p>
        </w:tc>
        <w:tc>
          <w:tcPr>
            <w:tcW w:type="dxa" w:w="67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Vendor primary sources only (product documentation, official FAQs, vendor engineering blogs, published pricing pages). Every capability claim is cited. Claims that could not be confirmed from a primary source are labelled UNVERIFIED in the text and listed in Appendix A.</w:t>
            </w:r>
          </w:p>
        </w:tc>
      </w:tr>
      <w:tr>
        <w:trPr>
          <w:cantSplit/>
        </w:trPr>
        <w:tc>
          <w:tcPr>
            <w:tcW w:type="dxa" w:w="2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Validity caveat</w:t>
            </w:r>
          </w:p>
        </w:tc>
        <w:tc>
          <w:tcPr>
            <w:tcW w:type="dxa" w:w="67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Both products are changing rapidly. AWS Transform for mainframe shipped materially new capability in December 2025 and again in June 2026; CAST Imaging shipped new MCP and AI-assistance capability across the 3.6.x line. Any statement in this document should be re-verified before it is relied on commercially more than one quarter from the research date.</w:t>
            </w:r>
          </w:p>
        </w:tc>
      </w:tr>
      <w:tr>
        <w:trPr>
          <w:cantSplit/>
        </w:trPr>
        <w:tc>
          <w:tcPr>
            <w:tcW w:type="dxa" w:w="2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Client identification</w:t>
            </w:r>
          </w:p>
        </w:tc>
        <w:tc>
          <w:tcPr>
            <w:tcW w:type="dxa" w:w="67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Deliberately withheld. The estate is described generically throughout.</w:t>
            </w:r>
          </w:p>
        </w:tc>
      </w:tr>
    </w:tbl>
    <w:p>
      <w:pPr>
        <w:pStyle w:val="Heading1"/>
        <w:spacing w:after="110" w:before="260"/>
      </w:pPr>
      <w:r>
        <w:rPr>
          <w:rFonts w:ascii="Calibri" w:cs="Calibri" w:eastAsia="Calibri" w:hAnsi="Calibri"/>
          <w:b/>
          <w:bCs/>
          <w:color w:val="1F3864"/>
          <w:sz w:val="27"/>
          <w:szCs w:val="27"/>
        </w:rPr>
        <w:t xml:space="preserve">1. Executive summary</w:t>
      </w:r>
    </w:p>
    <w:p>
      <w:pPr>
        <w:spacing w:after="90" w:line="240"/>
        <w:jc w:val="left"/>
      </w:pPr>
      <w:r>
        <w:rPr>
          <w:rFonts w:ascii="Calibri" w:cs="Calibri" w:eastAsia="Calibri" w:hAnsi="Calibri"/>
          <w:b w:val="false"/>
          <w:bCs w:val="false"/>
          <w:i w:val="false"/>
          <w:iCs w:val="false"/>
          <w:color w:val="000000"/>
          <w:sz w:val="20"/>
          <w:szCs w:val="20"/>
        </w:rPr>
        <w:t xml:space="preserve">This assessment compares CAST Imaging (with CAST Highlight where relevant) against AWS Transform for mainframe, for the specific task of reverse-engineering a 142-application IBM z/OS estate to a standard sufficient to drive a 2027–2029 exit programme. The programme has three constraints that shape the conclusion: emulation is prohibited, line-by-line COBOL-to-Java transliteration is explicitly unacceptable, and any GenAI-based tool must clear a four-stage governance review with a realistic two-to-four-month approval cycle.</w:t>
      </w:r>
    </w:p>
    <w:p>
      <w:pPr>
        <w:pStyle w:val="Heading2"/>
        <w:spacing w:after="80" w:before="190"/>
      </w:pPr>
      <w:r>
        <w:rPr>
          <w:rFonts w:ascii="Calibri" w:cs="Calibri" w:eastAsia="Calibri" w:hAnsi="Calibri"/>
          <w:b/>
          <w:bCs/>
          <w:color w:val="1F3864"/>
          <w:sz w:val="22"/>
          <w:szCs w:val="22"/>
        </w:rPr>
        <w:t xml:space="preserve">Headline recommendation</w:t>
      </w:r>
    </w:p>
    <w:p>
      <w:pPr>
        <w:spacing w:after="90" w:line="240"/>
        <w:jc w:val="left"/>
      </w:pPr>
      <w:r>
        <w:rPr>
          <w:rFonts w:ascii="Calibri" w:cs="Calibri" w:eastAsia="Calibri" w:hAnsi="Calibri"/>
          <w:b/>
          <w:bCs/>
          <w:i w:val="false"/>
          <w:iCs w:val="false"/>
          <w:color w:val="000000"/>
          <w:sz w:val="20"/>
          <w:szCs w:val="20"/>
        </w:rPr>
        <w:t xml:space="preserve">Use both, in a defined division of labour, and start them on different clocks. </w:t>
      </w:r>
      <w:r>
        <w:rPr>
          <w:rFonts w:ascii="Calibri" w:cs="Calibri" w:eastAsia="Calibri" w:hAnsi="Calibri"/>
          <w:b w:val="false"/>
          <w:bCs w:val="false"/>
          <w:i w:val="false"/>
          <w:iCs w:val="false"/>
          <w:color w:val="000000"/>
          <w:sz w:val="20"/>
          <w:szCs w:val="20"/>
        </w:rPr>
        <w:t xml:space="preserve">Deploy CAST Imaging first with its optional AI features administratively disabled, because its analysis core is deterministic static analysis and therefore carries no GenAI governance dependency, giving the programme a usable estate-wide call graph, coupling map and dead-code candidate list while the AWS Transform governance submission is still in flight. Submit AWS Transform to the four-stage review on day one, in parallel, and use it — once approved — for business-rule extraction, requirements generation with source-line traceability, domain decomposition and test planning, because a requirements-first forward-engineering path is the only documented route to idiomatic native Java that does not fall back on transliteration or a compatibility runtime.</w:t>
      </w:r>
    </w:p>
    <w:p>
      <w:pPr>
        <w:pStyle w:val="Heading2"/>
        <w:spacing w:after="80" w:before="190"/>
      </w:pPr>
      <w:r>
        <w:rPr>
          <w:rFonts w:ascii="Calibri" w:cs="Calibri" w:eastAsia="Calibri" w:hAnsi="Calibri"/>
          <w:b/>
          <w:bCs/>
          <w:color w:val="1F3864"/>
          <w:sz w:val="22"/>
          <w:szCs w:val="22"/>
        </w:rPr>
        <w:t xml:space="preserve">The four findings that matter most</w:t>
      </w:r>
    </w:p>
    <w:p>
      <w:pPr>
        <w:pStyle w:val="ListParagraph"/>
        <w:numPr>
          <w:ilvl w:val="0"/>
          <w:numId w:val="2"/>
        </w:numPr>
        <w:spacing w:after="60" w:line="240"/>
      </w:pPr>
      <w:r>
        <w:rPr>
          <w:rFonts w:ascii="Calibri" w:cs="Calibri" w:eastAsia="Calibri" w:hAnsi="Calibri"/>
          <w:b/>
          <w:bCs/>
          <w:i w:val="false"/>
          <w:iCs w:val="false"/>
          <w:sz w:val="20"/>
          <w:szCs w:val="20"/>
        </w:rPr>
        <w:t xml:space="preserve">Neither tool solves the dynamic-call problem, and only one of them admits it. </w:t>
      </w:r>
      <w:r>
        <w:rPr>
          <w:rFonts w:ascii="Calibri" w:cs="Calibri" w:eastAsia="Calibri" w:hAnsi="Calibri"/>
          <w:b w:val="false"/>
          <w:bCs w:val="false"/>
          <w:i w:val="false"/>
          <w:iCs w:val="false"/>
          <w:sz w:val="20"/>
          <w:szCs w:val="20"/>
        </w:rPr>
        <w:t xml:space="preserve">CAST documents its own resolution mechanism, its tuning parameters, and the hard boundary — where a target program name is held in a file or a database table, static resolution is impossible. AWS Transform describes its dependency graph and data-path tracing as deterministic but publishes no mechanism for resolving run-time-determined CALL targets. On the evidence available, CAST is the more honest and the more controllable; neither is complete.</w:t>
      </w:r>
    </w:p>
    <w:p>
      <w:pPr>
        <w:pStyle w:val="ListParagraph"/>
        <w:numPr>
          <w:ilvl w:val="0"/>
          <w:numId w:val="2"/>
        </w:numPr>
        <w:spacing w:after="60" w:line="240"/>
      </w:pPr>
      <w:r>
        <w:rPr>
          <w:rFonts w:ascii="Calibri" w:cs="Calibri" w:eastAsia="Calibri" w:hAnsi="Calibri"/>
          <w:b/>
          <w:bCs/>
          <w:i w:val="false"/>
          <w:iCs w:val="false"/>
          <w:sz w:val="20"/>
          <w:szCs w:val="20"/>
        </w:rPr>
        <w:t xml:space="preserve">The AWS Transform "refactor" path and the AWS Transform "reimagine" path are two different products with two different outcomes. </w:t>
      </w:r>
      <w:r>
        <w:rPr>
          <w:rFonts w:ascii="Calibri" w:cs="Calibri" w:eastAsia="Calibri" w:hAnsi="Calibri"/>
          <w:b w:val="false"/>
          <w:bCs w:val="false"/>
          <w:i w:val="false"/>
          <w:iCs w:val="false"/>
          <w:sz w:val="20"/>
          <w:szCs w:val="20"/>
        </w:rPr>
        <w:t xml:space="preserve">The refactor path (the former AWS Blu Age lineage) produces Java that depends on a proprietary AWS runtime providing CICS, VSAM and IMS DB substitutes and EBCDIC record semantics. That output would very likely fail this programme's stated bar on both counts — it is close to transliteration, and the runtime is arguably an emulation layer. The reimagine path produces technology-agnostic requirements in EARS notation with traceability back to source lines, which is a legitimate input to idiomatic forward engineering. The distinction must be made explicit in any AWS engagement.</w:t>
      </w:r>
    </w:p>
    <w:p>
      <w:pPr>
        <w:pStyle w:val="ListParagraph"/>
        <w:numPr>
          <w:ilvl w:val="0"/>
          <w:numId w:val="2"/>
        </w:numPr>
        <w:spacing w:after="60" w:line="240"/>
      </w:pPr>
      <w:r>
        <w:rPr>
          <w:rFonts w:ascii="Calibri" w:cs="Calibri" w:eastAsia="Calibri" w:hAnsi="Calibri"/>
          <w:b/>
          <w:bCs/>
          <w:i w:val="false"/>
          <w:iCs w:val="false"/>
          <w:sz w:val="20"/>
          <w:szCs w:val="20"/>
        </w:rPr>
        <w:t xml:space="preserve">The genuine blind-spot class — logic living outside the COBOL — is not closed by either tool. </w:t>
      </w:r>
      <w:r>
        <w:rPr>
          <w:rFonts w:ascii="Calibri" w:cs="Calibri" w:eastAsia="Calibri" w:hAnsi="Calibri"/>
          <w:b w:val="false"/>
          <w:bCs w:val="false"/>
          <w:i w:val="false"/>
          <w:iCs w:val="false"/>
          <w:sz w:val="20"/>
          <w:szCs w:val="20"/>
        </w:rPr>
        <w:t xml:space="preserve">Sort exit routines, sort control-card field semantics, JCL symbolic parameters resolved at submission, scheduler-held values and PROC overrides are ingested as artefacts by both platforms but interpreted as business logic by neither. This is human SME and bespoke-tooling work, and it should be budgeted as such rather than assumed away.</w:t>
      </w:r>
    </w:p>
    <w:p>
      <w:pPr>
        <w:pStyle w:val="ListParagraph"/>
        <w:numPr>
          <w:ilvl w:val="0"/>
          <w:numId w:val="2"/>
        </w:numPr>
        <w:spacing w:after="60" w:line="240"/>
      </w:pPr>
      <w:r>
        <w:rPr>
          <w:rFonts w:ascii="Calibri" w:cs="Calibri" w:eastAsia="Calibri" w:hAnsi="Calibri"/>
          <w:b/>
          <w:bCs/>
          <w:i w:val="false"/>
          <w:iCs w:val="false"/>
          <w:sz w:val="20"/>
          <w:szCs w:val="20"/>
        </w:rPr>
        <w:t xml:space="preserve">The governance clock is the single largest schedule risk in the tooling decision. </w:t>
      </w:r>
      <w:r>
        <w:rPr>
          <w:rFonts w:ascii="Calibri" w:cs="Calibri" w:eastAsia="Calibri" w:hAnsi="Calibri"/>
          <w:b w:val="false"/>
          <w:bCs w:val="false"/>
          <w:i w:val="false"/>
          <w:iCs w:val="false"/>
          <w:sz w:val="20"/>
          <w:szCs w:val="20"/>
        </w:rPr>
        <w:t xml:space="preserve">A two-to-four-month approval cycle for an agentic service, if run sequentially after a tool selection exercise, can consume most of a year before the first business rule is extracted. Running the CAST deployment and the AWS Transform governance submission concurrently is worth more to the programme than any capability difference identified in this document.</w:t>
      </w:r>
    </w:p>
    <w:p>
      <w:pPr>
        <w:pStyle w:val="Heading1"/>
        <w:spacing w:after="110" w:before="260"/>
      </w:pPr>
      <w:r>
        <w:rPr>
          <w:rFonts w:ascii="Calibri" w:cs="Calibri" w:eastAsia="Calibri" w:hAnsi="Calibri"/>
          <w:b/>
          <w:bCs/>
          <w:color w:val="1F3864"/>
          <w:sz w:val="27"/>
          <w:szCs w:val="27"/>
        </w:rPr>
        <w:t xml:space="preserve">2. Scope, method and evidence standard</w:t>
      </w:r>
    </w:p>
    <w:p>
      <w:pPr>
        <w:spacing w:after="90" w:line="240"/>
        <w:jc w:val="left"/>
      </w:pPr>
      <w:r>
        <w:rPr>
          <w:rFonts w:ascii="Calibri" w:cs="Calibri" w:eastAsia="Calibri" w:hAnsi="Calibri"/>
          <w:b w:val="false"/>
          <w:bCs w:val="false"/>
          <w:i w:val="false"/>
          <w:iCs w:val="false"/>
          <w:color w:val="000000"/>
          <w:sz w:val="20"/>
          <w:szCs w:val="20"/>
        </w:rPr>
        <w:t xml:space="preserve">The assessment covers reverse engineering only: application discovery, dependency and call-graph mapping, data-flow analysis, dead-code detection, transaction path tracing, and the production of inputs to a modernisation roadmap. </w:t>
      </w:r>
    </w:p>
    <w:p>
      <w:pPr>
        <w:spacing w:after="90" w:line="240"/>
        <w:jc w:val="left"/>
      </w:pPr>
      <w:r>
        <w:rPr>
          <w:rFonts w:ascii="Calibri" w:cs="Calibri" w:eastAsia="Calibri" w:hAnsi="Calibri"/>
          <w:b w:val="false"/>
          <w:bCs w:val="false"/>
          <w:i w:val="false"/>
          <w:iCs w:val="false"/>
          <w:color w:val="000000"/>
          <w:sz w:val="20"/>
          <w:szCs w:val="20"/>
        </w:rPr>
        <w:t xml:space="preserve">Research was performed on 14 August 2026 against vendor primary sources. Where a capability could not be confirmed from a primary source it is marked UNVERIFIED and carried into Appendix A rather than inferred. No capability here is asserted from prior knowledge of either product.</w:t>
      </w:r>
    </w:p>
    <w:p>
      <w:pPr>
        <w:pStyle w:val="Heading2"/>
        <w:spacing w:after="80" w:before="190"/>
      </w:pPr>
      <w:r>
        <w:rPr>
          <w:rFonts w:ascii="Calibri" w:cs="Calibri" w:eastAsia="Calibri" w:hAnsi="Calibri"/>
          <w:b/>
          <w:bCs/>
          <w:color w:val="1F3864"/>
          <w:sz w:val="22"/>
          <w:szCs w:val="22"/>
        </w:rPr>
        <w:t xml:space="preserve">A note on what "AWS Transform for mainframe" now means</w:t>
      </w:r>
    </w:p>
    <w:p>
      <w:pPr>
        <w:spacing w:after="90" w:line="240"/>
        <w:jc w:val="left"/>
      </w:pPr>
      <w:r>
        <w:rPr>
          <w:rFonts w:ascii="Calibri" w:cs="Calibri" w:eastAsia="Calibri" w:hAnsi="Calibri"/>
          <w:b w:val="false"/>
          <w:bCs w:val="false"/>
          <w:i w:val="false"/>
          <w:iCs w:val="false"/>
          <w:color w:val="000000"/>
          <w:sz w:val="20"/>
          <w:szCs w:val="20"/>
        </w:rPr>
        <w:t xml:space="preserve">The name now covers three things that were separate products until recently; conflating them produces incorrect conclusions:</w:t>
      </w:r>
    </w:p>
    <w:p>
      <w:pPr>
        <w:pStyle w:val="ListParagraph"/>
        <w:numPr>
          <w:ilvl w:val="0"/>
          <w:numId w:val="3"/>
        </w:numPr>
        <w:spacing w:after="60" w:line="240"/>
      </w:pPr>
      <w:r>
        <w:rPr>
          <w:rFonts w:ascii="Calibri" w:cs="Calibri" w:eastAsia="Calibri" w:hAnsi="Calibri"/>
          <w:b/>
          <w:bCs/>
          <w:i w:val="false"/>
          <w:iCs w:val="false"/>
          <w:sz w:val="20"/>
          <w:szCs w:val="20"/>
        </w:rPr>
        <w:t xml:space="preserve">The AWS Transform agentic service </w:t>
      </w:r>
      <w:r>
        <w:rPr>
          <w:rFonts w:ascii="Calibri" w:cs="Calibri" w:eastAsia="Calibri" w:hAnsi="Calibri"/>
          <w:b w:val="false"/>
          <w:bCs w:val="false"/>
          <w:i w:val="false"/>
          <w:iCs w:val="false"/>
          <w:sz w:val="20"/>
          <w:szCs w:val="20"/>
        </w:rPr>
        <w:t xml:space="preserve">— a chat-driven, goal-directed workflow in the AWS console, powered by Amazon Bedrock, performing code and data analysis, business-function discovery, business-rule extraction, decomposition, wave planning, documentation and test planning. This is the reverse-engineering capability and the primary subject of this assessment.</w:t>
      </w:r>
    </w:p>
    <w:p>
      <w:pPr>
        <w:pStyle w:val="ListParagraph"/>
        <w:numPr>
          <w:ilvl w:val="0"/>
          <w:numId w:val="3"/>
        </w:numPr>
        <w:spacing w:after="60" w:line="240"/>
      </w:pPr>
      <w:r>
        <w:rPr>
          <w:rFonts w:ascii="Calibri" w:cs="Calibri" w:eastAsia="Calibri" w:hAnsi="Calibri"/>
          <w:b/>
          <w:bCs/>
          <w:i w:val="false"/>
          <w:iCs w:val="false"/>
          <w:sz w:val="20"/>
          <w:szCs w:val="20"/>
        </w:rPr>
        <w:t xml:space="preserve">AWS Transform for mainframe refactor </w:t>
      </w:r>
      <w:r>
        <w:rPr>
          <w:rFonts w:ascii="Calibri" w:cs="Calibri" w:eastAsia="Calibri" w:hAnsi="Calibri"/>
          <w:b w:val="false"/>
          <w:bCs w:val="false"/>
          <w:i w:val="false"/>
          <w:iCs w:val="false"/>
          <w:sz w:val="20"/>
          <w:szCs w:val="20"/>
        </w:rPr>
        <w:t xml:space="preserve">— the former AWS Blu Insights / Blu Age tooling, rebranded March 2026. Supplies the Codebase, Dependencies and Transformation Center capabilities, and the engines that convert COBOL and PL/I to Java, JCL to Groovy, and BMS/MFS screens to Angular.</w:t>
      </w:r>
    </w:p>
    <w:p>
      <w:pPr>
        <w:pStyle w:val="ListParagraph"/>
        <w:numPr>
          <w:ilvl w:val="0"/>
          <w:numId w:val="3"/>
        </w:numPr>
        <w:spacing w:after="60" w:line="240"/>
      </w:pPr>
      <w:r>
        <w:rPr>
          <w:rFonts w:ascii="Calibri" w:cs="Calibri" w:eastAsia="Calibri" w:hAnsi="Calibri"/>
          <w:b/>
          <w:bCs/>
          <w:i w:val="false"/>
          <w:iCs w:val="false"/>
          <w:sz w:val="20"/>
          <w:szCs w:val="20"/>
        </w:rPr>
        <w:t xml:space="preserve">AWS Transform for mainframe Runtime </w:t>
      </w:r>
      <w:r>
        <w:rPr>
          <w:rFonts w:ascii="Calibri" w:cs="Calibri" w:eastAsia="Calibri" w:hAnsi="Calibri"/>
          <w:b w:val="false"/>
          <w:bCs w:val="false"/>
          <w:i w:val="false"/>
          <w:iCs w:val="false"/>
          <w:sz w:val="20"/>
          <w:szCs w:val="20"/>
        </w:rPr>
        <w:t xml:space="preserve">— the Java libraries and web applications (Gapwalk, JICS, Blusam, JHDB, Data Simplifier) the refactored Java depends on at run time. AWS states these provide "emulation of OS-provided programs" and Java replacements for CICS, IMS, IDCAMS, IEBGENER and DFSORT. Not reverse engineering, but its existence constrains what the refactor path can deliver.</w:t>
      </w:r>
    </w:p>
    <w:p>
      <w:pPr>
        <w:spacing w:after="90" w:line="240"/>
        <w:jc w:val="left"/>
      </w:pPr>
      <w:r>
        <w:rPr>
          <w:rFonts w:ascii="Calibri" w:cs="Calibri" w:eastAsia="Calibri" w:hAnsi="Calibri"/>
          <w:b w:val="false"/>
          <w:bCs w:val="false"/>
          <w:i w:val="false"/>
          <w:iCs w:val="false"/>
          <w:color w:val="000000"/>
          <w:sz w:val="20"/>
          <w:szCs w:val="20"/>
        </w:rPr>
        <w:t xml:space="preserve">"AWS Transform" unqualified means the agentic service. Where a capability comes from the refactor tooling that is stated, because the two have different documented coverage lists and it is not established that every refactor-tool feature is surfaced in the agentic console.</w:t>
      </w:r>
    </w:p>
    <w:p>
      <w:pPr>
        <w:pStyle w:val="Heading1"/>
        <w:spacing w:after="110" w:before="260"/>
      </w:pPr>
      <w:r>
        <w:rPr>
          <w:rFonts w:ascii="Calibri" w:cs="Calibri" w:eastAsia="Calibri" w:hAnsi="Calibri"/>
          <w:b/>
          <w:bCs/>
          <w:color w:val="1F3864"/>
          <w:sz w:val="27"/>
          <w:szCs w:val="27"/>
        </w:rPr>
        <w:t xml:space="preserve">3. What each platform actually does</w:t>
      </w:r>
    </w:p>
    <w:p>
      <w:pPr>
        <w:pStyle w:val="Heading2"/>
        <w:spacing w:after="80" w:before="190"/>
      </w:pPr>
      <w:r>
        <w:rPr>
          <w:rFonts w:ascii="Calibri" w:cs="Calibri" w:eastAsia="Calibri" w:hAnsi="Calibri"/>
          <w:b/>
          <w:bCs/>
          <w:color w:val="1F3864"/>
          <w:sz w:val="22"/>
          <w:szCs w:val="22"/>
        </w:rPr>
        <w:t xml:space="preserve">3.1 CAST Imaging</w:t>
      </w:r>
    </w:p>
    <w:p>
      <w:pPr>
        <w:spacing w:after="90" w:line="240"/>
        <w:jc w:val="left"/>
      </w:pPr>
      <w:r>
        <w:rPr>
          <w:rFonts w:ascii="Calibri" w:cs="Calibri" w:eastAsia="Calibri" w:hAnsi="Calibri"/>
          <w:b w:val="false"/>
          <w:bCs w:val="false"/>
          <w:i w:val="false"/>
          <w:iCs w:val="false"/>
          <w:color w:val="000000"/>
          <w:sz w:val="20"/>
          <w:szCs w:val="20"/>
        </w:rPr>
        <w:t xml:space="preserve">CAST Imaging is a static analysis and software-intelligence platform. It parses source, builds a persistent object-and-link knowledge base, and exposes that graph for navigation, impact analysis and transaction tracing. For a z/OS estate the relevant analysers are the Mainframe Analyzer (COBOL, copybooks, JCL, CICS, IMS, IBM control cards), plus separate extensions for PL/I, z/OS Assembler, REXX, CLIST and Easytrieve.</w:t>
      </w:r>
    </w:p>
    <w:p>
      <w:pPr>
        <w:spacing w:after="90" w:line="240"/>
        <w:jc w:val="left"/>
      </w:pPr>
      <w:r>
        <w:rPr>
          <w:rFonts w:ascii="Calibri" w:cs="Calibri" w:eastAsia="Calibri" w:hAnsi="Calibri"/>
          <w:b w:val="false"/>
          <w:bCs w:val="false"/>
          <w:i w:val="false"/>
          <w:iCs w:val="false"/>
          <w:color w:val="000000"/>
          <w:sz w:val="20"/>
          <w:szCs w:val="20"/>
        </w:rPr>
        <w:t xml:space="preserve">The analytical core is deterministic — CAST's own positioning is that the product "deterministically" maps internal software structures. Dynamic COBOL calls are resolved by a symbolic Inference Engine with explicit tuning parameters, not a probabilistic model; copy-paste detection uses classical TF-IDF statistics. Large-language-model features exist but are optional, administratively gated, and require an administrator to supply provider credentials before they run.</w:t>
      </w:r>
    </w:p>
    <w:p>
      <w:pPr>
        <w:spacing w:after="90" w:line="240"/>
        <w:jc w:val="left"/>
      </w:pPr>
      <w:r>
        <w:rPr>
          <w:rFonts w:ascii="Calibri" w:cs="Calibri" w:eastAsia="Calibri" w:hAnsi="Calibri"/>
          <w:b w:val="false"/>
          <w:bCs w:val="false"/>
          <w:i w:val="false"/>
          <w:iCs w:val="false"/>
          <w:color w:val="000000"/>
          <w:sz w:val="20"/>
          <w:szCs w:val="20"/>
        </w:rPr>
        <w:t xml:space="preserve">Deployment is on-premises or in the customer's own cloud as Docker containers, with an Extend Local Server for environments without public internet access. Source is analysed in place from a mapped folder and CAST states it is not copied into the delivery or deploy folders. The SaaS variant, CAST Imaging Express, uploads analysis metadata only — never source — and offers an offline analyser for air-gapped work. Pricing is published: a per-application, per-year subscription banded by lines of code, from roughly USD 10,200 under 250 KLOC to USD 108,000 up to 4 million lines, with anything larger requiring a quote.</w:t>
      </w:r>
    </w:p>
    <w:p>
      <w:pPr>
        <w:spacing w:after="90" w:line="240"/>
        <w:jc w:val="left"/>
      </w:pPr>
      <w:r>
        <w:rPr>
          <w:rFonts w:ascii="Calibri" w:cs="Calibri" w:eastAsia="Calibri" w:hAnsi="Calibri"/>
          <w:b w:val="false"/>
          <w:bCs w:val="false"/>
          <w:i w:val="false"/>
          <w:iCs w:val="false"/>
          <w:color w:val="000000"/>
          <w:sz w:val="20"/>
          <w:szCs w:val="20"/>
        </w:rPr>
        <w:t xml:space="preserve">CAST Highlight is a separate, lighter product producing portfolio-level indicators and a cloud-readiness view. It is useful for triaging 142 applications into waves. It is not a call-graph or reverse-engineering tool and should not be positioned as one.</w:t>
      </w:r>
    </w:p>
    <w:p>
      <w:pPr>
        <w:pStyle w:val="Heading2"/>
        <w:spacing w:after="80" w:before="190"/>
      </w:pPr>
      <w:r>
        <w:rPr>
          <w:rFonts w:ascii="Calibri" w:cs="Calibri" w:eastAsia="Calibri" w:hAnsi="Calibri"/>
          <w:b/>
          <w:bCs/>
          <w:color w:val="1F3864"/>
          <w:sz w:val="22"/>
          <w:szCs w:val="22"/>
        </w:rPr>
        <w:t xml:space="preserve">3.2 AWS Transform for mainframe</w:t>
      </w:r>
    </w:p>
    <w:p>
      <w:pPr>
        <w:spacing w:after="90" w:line="240"/>
        <w:jc w:val="left"/>
      </w:pPr>
      <w:r>
        <w:rPr>
          <w:rFonts w:ascii="Calibri" w:cs="Calibri" w:eastAsia="Calibri" w:hAnsi="Calibri"/>
          <w:b w:val="false"/>
          <w:bCs w:val="false"/>
          <w:i w:val="false"/>
          <w:iCs w:val="false"/>
          <w:color w:val="000000"/>
          <w:sz w:val="20"/>
          <w:szCs w:val="20"/>
        </w:rPr>
        <w:t xml:space="preserve">AWS Transform for mainframe is an agentic AI service. The user states an objective in chat; the service proposes a plan, executes it as agent-run steps, and pauses for human approval at defined checkpoints — notably domain decomposition and wave planning. It is powered by Amazon Bedrock and uses geographic cross-region inference.</w:t>
      </w:r>
    </w:p>
    <w:p>
      <w:pPr>
        <w:spacing w:after="90" w:line="240"/>
        <w:jc w:val="left"/>
      </w:pPr>
      <w:r>
        <w:rPr>
          <w:rFonts w:ascii="Calibri" w:cs="Calibri" w:eastAsia="Calibri" w:hAnsi="Calibri"/>
          <w:b w:val="false"/>
          <w:bCs w:val="false"/>
          <w:i w:val="false"/>
          <w:iCs w:val="false"/>
          <w:color w:val="000000"/>
          <w:sz w:val="20"/>
          <w:szCs w:val="20"/>
        </w:rPr>
        <w:t xml:space="preserve">For reverse engineering the June 2026 Assess and Reimagine workflows are the material capability. AWS describes the pipeline as: code analysis (classify artefacts, build dependency graphs across programs, entry points and data stores, measure complexity, flag missing files and unsupported languages); data analysis (map Db2 tables and VSAM files, identify which programs read, write, update or delete them, trace data lineage across programs and JCL jobs, build a field-level data dictionary from copybooks and Db2 catalogues); data-path discovery (each distinct route from an entry-point trigger to a specific output, traced deterministically); business-function discovery (an LLM names, describes and groups those paths into business functions); business-rule extraction (deterministic program slicing at each business-significant operation, backward data-dependency tracing, an evidence pack per behaviour, then rule extraction from the evidence pack rather than from comments or naming); and requirements generation (user stories in EARS notation with testable acceptance criteria, plus a traceability matrix mapping every rule to captured, not-applicable or delegated, with a "not accounted for = 0" completeness metric).</w:t>
      </w:r>
    </w:p>
    <w:p>
      <w:pPr>
        <w:spacing w:after="90" w:line="240"/>
        <w:jc w:val="left"/>
      </w:pPr>
      <w:r>
        <w:rPr>
          <w:rFonts w:ascii="Calibri" w:cs="Calibri" w:eastAsia="Calibri" w:hAnsi="Calibri"/>
          <w:b w:val="false"/>
          <w:bCs w:val="false"/>
          <w:i w:val="false"/>
          <w:iCs w:val="false"/>
          <w:color w:val="000000"/>
          <w:sz w:val="20"/>
          <w:szCs w:val="20"/>
        </w:rPr>
        <w:t xml:space="preserve">Inputs are uploaded to an S3 bucket in the customer's own account. The documented ingest list is broad — COBOL, JCL, Assembler, PL/I, CICS, Natural, REXX, Easytrieve, copybooks, PROC libraries, DB2 DCLGEN and DDL, IMS PSBs and DBDs, MFS, VSAM definitions, CSD extracts, control cards, CA-7 LJOB scheduler reports and SMF records, with a minimum of thirteen months of SMF recommended.</w:t>
      </w:r>
    </w:p>
    <w:p>
      <w:pPr>
        <w:spacing w:after="90" w:line="240"/>
        <w:jc w:val="left"/>
      </w:pPr>
      <w:r>
        <w:rPr>
          <w:rFonts w:ascii="Calibri" w:cs="Calibri" w:eastAsia="Calibri" w:hAnsi="Calibri"/>
          <w:b w:val="false"/>
          <w:bCs w:val="false"/>
          <w:i w:val="false"/>
          <w:iCs w:val="false"/>
          <w:color w:val="000000"/>
          <w:sz w:val="20"/>
          <w:szCs w:val="20"/>
        </w:rPr>
        <w:t xml:space="preserve">Commercially, the mainframe modernisation agent and the assessment capability are currently offered at no cost, with AWS reserving the right to introduce future capabilities as paid features. Only the custom transformation agent and continuous modernisation are priced, at USD 0.035 per agent minute — a materially different posture from CAST's per-application subscription.</w:t>
      </w:r>
    </w:p>
    <w:p>
      <w:pPr>
        <w:pStyle w:val="Heading1"/>
        <w:spacing w:after="110" w:before="260"/>
      </w:pPr>
      <w:r>
        <w:rPr>
          <w:rFonts w:ascii="Calibri" w:cs="Calibri" w:eastAsia="Calibri" w:hAnsi="Calibri"/>
          <w:b/>
          <w:bCs/>
          <w:color w:val="1F3864"/>
          <w:sz w:val="27"/>
          <w:szCs w:val="27"/>
        </w:rPr>
        <w:t xml:space="preserve">4. Assessment against the programme's criteria</w:t>
      </w:r>
    </w:p>
    <w:p>
      <w:pPr>
        <w:pStyle w:val="Heading2"/>
        <w:spacing w:after="80" w:before="190"/>
      </w:pPr>
      <w:r>
        <w:rPr>
          <w:rFonts w:ascii="Calibri" w:cs="Calibri" w:eastAsia="Calibri" w:hAnsi="Calibri"/>
          <w:b/>
          <w:bCs/>
          <w:color w:val="1F3864"/>
          <w:sz w:val="22"/>
          <w:szCs w:val="22"/>
        </w:rPr>
        <w:t xml:space="preserve">4.1 Language and subsystem coverage</w:t>
      </w:r>
    </w:p>
    <w:tbl>
      <w:tblPr>
        <w:tblW w:type="dxa" w:w="9360"/>
        <w:tblBorders>
          <w:top w:val="single" w:color="AEBAC9" w:sz="4"/>
          <w:left w:val="single" w:color="AEBAC9" w:sz="4"/>
          <w:bottom w:val="single" w:color="AEBAC9" w:sz="4"/>
          <w:right w:val="single" w:color="AEBAC9" w:sz="4"/>
          <w:insideH w:val="single" w:color="C9D2DD" w:sz="2"/>
          <w:insideV w:val="single" w:color="C9D2DD" w:sz="2"/>
        </w:tblBorders>
      </w:tblPr>
      <w:tblGrid>
        <w:gridCol w:w="2200"/>
        <w:gridCol w:w="3580"/>
        <w:gridCol w:w="3580"/>
      </w:tblGrid>
      <w:tr>
        <w:trPr>
          <w:cantSplit/>
          <w:tblHeader/>
        </w:trPr>
        <w:tc>
          <w:tcPr>
            <w:tcW w:type="dxa" w:w="2200"/>
            <w:shd w:fill="1F3864" w:color="auto" w:val="clear"/>
            <w:tcMar>
              <w:top w:type="dxa" w:w="40"/>
              <w:left w:type="dxa" w:w="80"/>
              <w:bottom w:type="dxa" w:w="40"/>
              <w:right w:type="dxa" w:w="80"/>
            </w:tcMar>
            <w:vAlign w:val="center"/>
          </w:tcPr>
          <w:p>
            <w:pPr>
              <w:spacing w:after="16" w:before="16" w:line="210"/>
              <w:jc w:val="left"/>
            </w:pPr>
            <w:r>
              <w:rPr>
                <w:rFonts w:ascii="Calibri" w:cs="Calibri" w:eastAsia="Calibri" w:hAnsi="Calibri"/>
                <w:b/>
                <w:bCs/>
                <w:i w:val="false"/>
                <w:iCs w:val="false"/>
                <w:color w:val="FFFFFF"/>
                <w:sz w:val="16"/>
                <w:szCs w:val="16"/>
              </w:rPr>
              <w:t xml:space="preserve">Artefact class</w:t>
            </w:r>
          </w:p>
        </w:tc>
        <w:tc>
          <w:tcPr>
            <w:tcW w:type="dxa" w:w="3580"/>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CAST Imaging</w:t>
            </w:r>
          </w:p>
        </w:tc>
        <w:tc>
          <w:tcPr>
            <w:tcW w:type="dxa" w:w="3580"/>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AWS Transform for mainframe</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COBOL</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Mainframe Analyzer, ANSI COBOL 85 base. Enterprise COBOL for z/OS to v6 rated High; VS COBOL II rated Medium. CAST states it "does not take into account all specific COBOL extensions to this standard".</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Supported for analysis and transformation to Java. Per-dialect coverage is not published. UNVERIFIED whether VS COBOL II is handled differently from Enterprise COBOL.</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Copybooks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COPY plus Panvalet ++INCLUDE, Librarian -INC and OpenVMS forms; COPY REPLACING with documented delimiter handling. Unreferenced copybooks excluded by default.</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Ingested (.cpy) and used to build the field-level data dictionary including byte offsets. PL/I copybooks accepted.</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JCL and PROCs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z/OS JCL rated High. PROCs and INCLUDE members required or "the analysis will not be complete and results will be partial".</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JCL, PROC and INCLUDE all ingested. Transformed to Groovy in the refactor path — not the programme's confirmed target of shell scripts.</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PL/I</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Supported, but built on CAST's Universal Analyzer technology; CAST warns it "may not produce the same level of analysis and precision" as native analysers. PL/I must sit in an isolated folder or the pre-processor can corrupt adjacent files.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COBOL and PL/I both transform to Java; PL/I is covered in AWS's own engineering blog.</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HLASM / Assembler</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Analyser exists but is thin: no entry-point concept and no ISO 5055 rule coverage. CAST's own modernisation view lists Assembler modules as a "common blocker".</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Ingested and inventoried. No documented transformation. Assembler business logic is human work in both tools.</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REXX and CLIST</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Separate analysers. REXX cannot be a transaction entry point in CAST's model; CLIST produces no links and no quality rules.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REXX ingested; the refactor tooling transforms REXX (and C, SAS) to Java via a generative-AI path with mandatory human review. CLIST UNVERIFIED in the agentic service.</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Sort control cards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Covered as "IBM Control Card". CAST parses linkage-editor INCLUDE and IDCAMS DEFINE CLUSTER/ALTERNATEINDEX to create dataset objects. Interpretation of DFSORT field semantics UNVERIFIED.</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Control cards ingested and transformed by a dedicated CTL engine in the refactor path. Interpretation of INCLUDE/OMIT/INREC/OUTREC semantics as business rules UNVERIFIED.</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IMS DBD / PSB</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IMS DB rated Medium. DBD, PSB, CBLTDLI/CEETDLI/AIBTDLI and EXEC DLI handled. Stated limit: PCB access detected only for main programs directly associated to a PSB and sub-programs passed PCBs as CALL arguments.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PSB, DBD and IMS Stage 1 ingested; DFSURDD0 extraction JCL documented. AWS states only IMS Stage 1 is currently supported.</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IMS MFS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Delivery guidance asks for .mfs files, but no MFS object or link type appears in the documented results catalogue. UNVERIFIED.</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MFS ingested and, in the refactor path, transformed to Angular alongside BMS.</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CICS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Rated High. Transactions, maps, mapsets, BMS definitions, datasets, transient data queues. CSD via DFHCSDUP.</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Transactions, BMS and CSD ingested; DFHCSDUP extraction JCL documented.</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DB2 for z/OS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Rated High via EXEC SQL. DCLGEN copybooks expected.</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DCLGEN, DDL and db2look extraction documented. Refactor path claims full DDL transformation to PostgreSQL including constraints.</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Natural / ADABAS, IDMS, Datacom</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No official analyser; CAST rates these No. Unsupported community extensions exist; CAST suggests Reference Patterns as a manual workaround for IDMS.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Natural is listed as an ingestible source type. Analysis depth and any transformation path UNVERIFIED.</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Scheduler definitions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Not a documented CAST input for z/OS schedulers.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CA-7 LJOB reports ingested; Control-M and TWS/IWS covered in the refactor tooling. AWS states legacy scheduler assets are not modernised — they are used to identify missing artefacts and sequence batch test cases.</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Run-time usage evidence</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None. CAST is source-only.</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SMF types 14, 15, 30(5), 64, 102 and 110(1) ingested; thirteen months recommended. Genuine run-time evidence; CAST has no equivalent.</w:t>
            </w:r>
          </w:p>
        </w:tc>
      </w:tr>
    </w:tbl>
    <w:p>
      <w:pPr>
        <w:spacing w:after="150" w:before="60"/>
      </w:pPr>
      <w:r>
        <w:rPr>
          <w:rFonts w:ascii="Calibri" w:cs="Calibri" w:eastAsia="Calibri" w:hAnsi="Calibri"/>
          <w:i/>
          <w:iCs/>
          <w:color w:val="595959"/>
          <w:sz w:val="15"/>
          <w:szCs w:val="15"/>
        </w:rPr>
        <w:t xml:space="preserve">Table 1. Artefact-class coverage. Statements are drawn from vendor documentation; see References.</w:t>
      </w:r>
    </w:p>
    <w:p>
      <w:pPr>
        <w:spacing w:after="90" w:line="240"/>
        <w:jc w:val="left"/>
      </w:pPr>
      <w:r>
        <w:rPr>
          <w:rFonts w:ascii="Calibri" w:cs="Calibri" w:eastAsia="Calibri" w:hAnsi="Calibri"/>
          <w:b w:val="false"/>
          <w:bCs w:val="false"/>
          <w:i w:val="false"/>
          <w:iCs w:val="false"/>
          <w:color w:val="000000"/>
          <w:sz w:val="20"/>
          <w:szCs w:val="20"/>
        </w:rPr>
        <w:t xml:space="preserve">Read fairly: CAST has broader and better-documented static coverage of the awkward languages, shipping named analysers for HLASM, REXX, CLIST and Easytrieve with an honest quality rating for each. AWS accepts a wider set of files at the door, including scheduler reports and SMF, but publishes far less about the depth of analysis each receives. CAST tells you where it is weak; AWS mostly does not tell you either way.</w:t>
      </w:r>
    </w:p>
    <w:p>
      <w:pPr>
        <w:pStyle w:val="Heading2"/>
        <w:spacing w:after="80" w:before="190"/>
      </w:pPr>
      <w:r>
        <w:rPr>
          <w:rFonts w:ascii="Calibri" w:cs="Calibri" w:eastAsia="Calibri" w:hAnsi="Calibri"/>
          <w:b/>
          <w:bCs/>
          <w:color w:val="1F3864"/>
          <w:sz w:val="22"/>
          <w:szCs w:val="22"/>
        </w:rPr>
        <w:t xml:space="preserve">4.2 Static call-graph completeness and dynamic CALL targets</w:t>
      </w:r>
    </w:p>
    <w:p>
      <w:pPr>
        <w:spacing w:after="90" w:line="240"/>
        <w:jc w:val="left"/>
      </w:pPr>
      <w:r>
        <w:rPr>
          <w:rFonts w:ascii="Calibri" w:cs="Calibri" w:eastAsia="Calibri" w:hAnsi="Calibri"/>
          <w:b w:val="false"/>
          <w:bCs w:val="false"/>
          <w:i w:val="false"/>
          <w:iCs w:val="false"/>
          <w:color w:val="000000"/>
          <w:sz w:val="20"/>
          <w:szCs w:val="20"/>
        </w:rPr>
        <w:t xml:space="preserve">This is the criterion on which the assessment turns, and it is the one where the public evidence is most asymmetric.</w:t>
      </w:r>
    </w:p>
    <w:p>
      <w:pPr>
        <w:pStyle w:val="Heading3"/>
        <w:spacing w:after="70" w:before="140"/>
      </w:pPr>
      <w:r>
        <w:rPr>
          <w:rFonts w:ascii="Calibri" w:cs="Calibri" w:eastAsia="Calibri" w:hAnsi="Calibri"/>
          <w:b/>
          <w:bCs/>
          <w:color w:val="2E5496"/>
          <w:sz w:val="20"/>
          <w:szCs w:val="20"/>
        </w:rPr>
        <w:t xml:space="preserve">CAST Imaging</w:t>
      </w:r>
    </w:p>
    <w:p>
      <w:pPr>
        <w:spacing w:after="90" w:line="240"/>
        <w:jc w:val="left"/>
      </w:pPr>
      <w:r>
        <w:rPr>
          <w:rFonts w:ascii="Calibri" w:cs="Calibri" w:eastAsia="Calibri" w:hAnsi="Calibri"/>
          <w:b w:val="false"/>
          <w:bCs w:val="false"/>
          <w:i w:val="false"/>
          <w:iCs w:val="false"/>
          <w:color w:val="000000"/>
          <w:sz w:val="20"/>
          <w:szCs w:val="20"/>
        </w:rPr>
        <w:t xml:space="preserve">CAST resolves dynamic COBOL calls through an Inference Engine with two tuning parameters — String Concatenation and Procedure Call Depth. CAST documents that limiting either "can lead to incomplete results", and that with a restrictive depth "some links to external objects (programs, CICS transactions, …) will not be drawn". It publishes a worked example for one complex program:</w:t>
      </w:r>
    </w:p>
    <w:tbl>
      <w:tblPr>
        <w:tblW w:type="dxa" w:w="9360"/>
        <w:tblBorders>
          <w:top w:val="single" w:color="AEBAC9" w:sz="4"/>
          <w:left w:val="single" w:color="AEBAC9" w:sz="4"/>
          <w:bottom w:val="single" w:color="AEBAC9" w:sz="4"/>
          <w:right w:val="single" w:color="AEBAC9" w:sz="4"/>
          <w:insideH w:val="single" w:color="C9D2DD" w:sz="2"/>
          <w:insideV w:val="single" w:color="C9D2DD" w:sz="2"/>
        </w:tblBorders>
      </w:tblPr>
      <w:tblGrid>
        <w:gridCol w:w="2600"/>
        <w:gridCol w:w="1352"/>
        <w:gridCol w:w="1352"/>
        <w:gridCol w:w="1352"/>
        <w:gridCol w:w="1352"/>
        <w:gridCol w:w="1352"/>
      </w:tblGrid>
      <w:tr>
        <w:trPr>
          <w:cantSplit/>
          <w:tblHeader/>
        </w:trPr>
        <w:tc>
          <w:tcPr>
            <w:tcW w:type="dxa" w:w="2600"/>
            <w:shd w:fill="1F3864" w:color="auto" w:val="clear"/>
            <w:tcMar>
              <w:top w:type="dxa" w:w="40"/>
              <w:left w:type="dxa" w:w="80"/>
              <w:bottom w:type="dxa" w:w="40"/>
              <w:right w:type="dxa" w:w="80"/>
            </w:tcMar>
            <w:vAlign w:val="center"/>
          </w:tcPr>
          <w:p>
            <w:pPr>
              <w:spacing w:after="16" w:before="16" w:line="210"/>
              <w:jc w:val="left"/>
            </w:pPr>
            <w:r>
              <w:rPr>
                <w:rFonts w:ascii="Calibri" w:cs="Calibri" w:eastAsia="Calibri" w:hAnsi="Calibri"/>
                <w:b/>
                <w:bCs/>
                <w:i w:val="false"/>
                <w:iCs w:val="false"/>
                <w:color w:val="FFFFFF"/>
                <w:sz w:val="16"/>
                <w:szCs w:val="16"/>
              </w:rPr>
              <w:t xml:space="preserve">Setting</w:t>
            </w:r>
          </w:p>
        </w:tc>
        <w:tc>
          <w:tcPr>
            <w:tcW w:type="dxa" w:w="1352"/>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Run 1</w:t>
            </w:r>
          </w:p>
        </w:tc>
        <w:tc>
          <w:tcPr>
            <w:tcW w:type="dxa" w:w="1352"/>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Run 2</w:t>
            </w:r>
          </w:p>
        </w:tc>
        <w:tc>
          <w:tcPr>
            <w:tcW w:type="dxa" w:w="1352"/>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Run 3</w:t>
            </w:r>
          </w:p>
        </w:tc>
        <w:tc>
          <w:tcPr>
            <w:tcW w:type="dxa" w:w="1352"/>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Run 4</w:t>
            </w:r>
          </w:p>
        </w:tc>
        <w:tc>
          <w:tcPr>
            <w:tcW w:type="dxa" w:w="1352"/>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Run 5</w:t>
            </w:r>
          </w:p>
        </w:tc>
      </w:tr>
      <w:tr>
        <w:trPr>
          <w:cantSplit/>
        </w:trPr>
        <w:tc>
          <w:tcPr>
            <w:tcW w:type="dxa" w:w="2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String concatenation limit</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1000</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1000</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1000</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1000</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1000</w:t>
            </w:r>
          </w:p>
        </w:tc>
      </w:tr>
      <w:tr>
        <w:trPr>
          <w:cantSplit/>
        </w:trPr>
        <w:tc>
          <w:tcPr>
            <w:tcW w:type="dxa" w:w="2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Procedure call depth</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500</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1000</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2000</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2500</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2800</w:t>
            </w:r>
          </w:p>
        </w:tc>
      </w:tr>
      <w:tr>
        <w:trPr>
          <w:cantSplit/>
        </w:trPr>
        <w:tc>
          <w:tcPr>
            <w:tcW w:type="dxa" w:w="2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Analysis runtime (seconds)</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75</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83</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86</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92</w:t>
            </w:r>
          </w:p>
        </w:tc>
        <w:tc>
          <w:tcPr>
            <w:tcW w:type="dxa" w:w="1352"/>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103</w:t>
            </w:r>
          </w:p>
        </w:tc>
      </w:tr>
      <w:tr>
        <w:trPr>
          <w:cantSplit/>
        </w:trPr>
        <w:tc>
          <w:tcPr>
            <w:tcW w:type="dxa" w:w="2600"/>
            <w:shd w:fill="DCE6F1" w:color="auto" w:val="clear"/>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Dynamic links drawn</w:t>
            </w:r>
          </w:p>
        </w:tc>
        <w:tc>
          <w:tcPr>
            <w:tcW w:type="dxa" w:w="1352"/>
            <w:shd w:fill="DCE6F1"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4</w:t>
            </w:r>
          </w:p>
        </w:tc>
        <w:tc>
          <w:tcPr>
            <w:tcW w:type="dxa" w:w="1352"/>
            <w:shd w:fill="DCE6F1"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9</w:t>
            </w:r>
          </w:p>
        </w:tc>
        <w:tc>
          <w:tcPr>
            <w:tcW w:type="dxa" w:w="1352"/>
            <w:shd w:fill="DCE6F1"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17</w:t>
            </w:r>
          </w:p>
        </w:tc>
        <w:tc>
          <w:tcPr>
            <w:tcW w:type="dxa" w:w="1352"/>
            <w:shd w:fill="DCE6F1"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28</w:t>
            </w:r>
          </w:p>
        </w:tc>
        <w:tc>
          <w:tcPr>
            <w:tcW w:type="dxa" w:w="1352"/>
            <w:shd w:fill="DCE6F1"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32</w:t>
            </w:r>
          </w:p>
        </w:tc>
      </w:tr>
    </w:tbl>
    <w:p>
      <w:pPr>
        <w:spacing w:after="150" w:before="60"/>
      </w:pPr>
      <w:r>
        <w:rPr>
          <w:rFonts w:ascii="Calibri" w:cs="Calibri" w:eastAsia="Calibri" w:hAnsi="Calibri"/>
          <w:i/>
          <w:iCs/>
          <w:color w:val="595959"/>
          <w:sz w:val="15"/>
          <w:szCs w:val="15"/>
        </w:rPr>
        <w:t xml:space="preserve">Table 2. CAST's own published Inference Engine tuning data for one complex COBOL program. Source: CAST Mainframe analysis configuration documentation.</w:t>
      </w:r>
    </w:p>
    <w:p>
      <w:pPr>
        <w:spacing w:after="90" w:line="240"/>
        <w:jc w:val="left"/>
      </w:pPr>
      <w:r>
        <w:rPr>
          <w:rFonts w:ascii="Calibri" w:cs="Calibri" w:eastAsia="Calibri" w:hAnsi="Calibri"/>
          <w:b w:val="false"/>
          <w:bCs w:val="false"/>
          <w:i w:val="false"/>
          <w:iCs w:val="false"/>
          <w:color w:val="000000"/>
          <w:sz w:val="20"/>
          <w:szCs w:val="20"/>
        </w:rPr>
        <w:t xml:space="preserve">The implication is uncomfortable but useful: call-graph completeness varied eightfold as a function of an analysis setting, for a 37 per cent runtime increase. Completeness in CAST is a tuning outcome, not a fixed property, and CAST states there is no general tuning rule. To its credit, the analyser reports its own resolution success rate as a percentage in the analysis log, giving the programme a defensible per-application completeness signal.</w:t>
      </w:r>
    </w:p>
    <w:p>
      <w:pPr>
        <w:spacing w:after="90" w:line="240"/>
        <w:jc w:val="left"/>
      </w:pPr>
      <w:r>
        <w:rPr>
          <w:rFonts w:ascii="Calibri" w:cs="Calibri" w:eastAsia="Calibri" w:hAnsi="Calibri"/>
          <w:b w:val="false"/>
          <w:bCs w:val="false"/>
          <w:i w:val="false"/>
          <w:iCs w:val="false"/>
          <w:color w:val="000000"/>
          <w:sz w:val="20"/>
          <w:szCs w:val="20"/>
        </w:rPr>
        <w:t xml:space="preserve">Where the engine cannot reach, CAST offers two escalations: parameterisation XML, letting an analyst declare that a dispatcher program carries the real target name in a named parameter at a given byte offset and length; and the Dynamic Link Manager with Reference Patterns and an Automatic Links Validator that scores each link and routes ties to manual review. CAST is explicit that dynamic-link inspection is mandatory, and that skipping it degrades transaction discovery, architecture rules, fan-in/fan-out and dead-code results.</w:t>
      </w:r>
    </w:p>
    <w:p>
      <w:pPr>
        <w:spacing w:after="90" w:line="240"/>
        <w:jc w:val="left"/>
      </w:pPr>
      <w:r>
        <w:rPr>
          <w:rFonts w:ascii="Calibri" w:cs="Calibri" w:eastAsia="Calibri" w:hAnsi="Calibri"/>
          <w:b w:val="false"/>
          <w:bCs w:val="false"/>
          <w:i w:val="false"/>
          <w:iCs w:val="false"/>
          <w:color w:val="000000"/>
          <w:sz w:val="20"/>
          <w:szCs w:val="20"/>
        </w:rPr>
        <w:t xml:space="preserve">The hard boundary is stated by CAST in its own documentation: </w:t>
      </w:r>
      <w:r>
        <w:rPr>
          <w:rFonts w:ascii="Calibri" w:cs="Calibri" w:eastAsia="Calibri" w:hAnsi="Calibri"/>
          <w:b w:val="false"/>
          <w:bCs w:val="false"/>
          <w:i/>
          <w:iCs/>
          <w:color w:val="000000"/>
          <w:sz w:val="20"/>
          <w:szCs w:val="20"/>
        </w:rPr>
        <w:t xml:space="preserve">"if the calling program is using a file or a database to identify the name of the target before calling it, then it will not be possible to apply the corresponding rule."</w:t>
      </w:r>
      <w:r>
        <w:rPr>
          <w:rFonts w:ascii="Calibri" w:cs="Calibri" w:eastAsia="Calibri" w:hAnsi="Calibri"/>
          <w:b w:val="false"/>
          <w:bCs w:val="false"/>
          <w:i w:val="false"/>
          <w:iCs w:val="false"/>
          <w:color w:val="000000"/>
          <w:sz w:val="20"/>
          <w:szCs w:val="20"/>
        </w:rPr>
        <w:t xml:space="preserve"> Table-driven dispatch — the routing table in VSAM or DB2 that decides which module handles which product code — is outside static reach. The same page states that JCL parameterisation "is not able, for the moment, to process the parameters which are external to JCL source files".</w:t>
      </w:r>
    </w:p>
    <w:p>
      <w:pPr>
        <w:pStyle w:val="Heading3"/>
        <w:spacing w:after="70" w:before="140"/>
      </w:pPr>
      <w:r>
        <w:rPr>
          <w:rFonts w:ascii="Calibri" w:cs="Calibri" w:eastAsia="Calibri" w:hAnsi="Calibri"/>
          <w:b/>
          <w:bCs/>
          <w:color w:val="2E5496"/>
          <w:sz w:val="20"/>
          <w:szCs w:val="20"/>
        </w:rPr>
        <w:t xml:space="preserve">AWS Transform</w:t>
      </w:r>
    </w:p>
    <w:p>
      <w:pPr>
        <w:spacing w:after="90" w:line="240"/>
        <w:jc w:val="left"/>
      </w:pPr>
      <w:r>
        <w:rPr>
          <w:rFonts w:ascii="Calibri" w:cs="Calibri" w:eastAsia="Calibri" w:hAnsi="Calibri"/>
          <w:b w:val="false"/>
          <w:bCs w:val="false"/>
          <w:i w:val="false"/>
          <w:iCs w:val="false"/>
          <w:color w:val="000000"/>
          <w:sz w:val="20"/>
          <w:szCs w:val="20"/>
        </w:rPr>
        <w:t xml:space="preserve">AWS describes its dependency-graph construction and data-path tracing as deterministic, and states the service "highlights potential missing files and files in unsupported languages" and "surfaces these gaps early so teams can resolve them". That is the right gap-reporting behaviour.</w:t>
      </w:r>
    </w:p>
    <w:p>
      <w:pPr>
        <w:spacing w:after="90" w:line="240"/>
        <w:jc w:val="left"/>
      </w:pPr>
      <w:r>
        <w:rPr>
          <w:rFonts w:ascii="Calibri" w:cs="Calibri" w:eastAsia="Calibri" w:hAnsi="Calibri"/>
          <w:b/>
          <w:bCs/>
          <w:i w:val="false"/>
          <w:iCs w:val="false"/>
          <w:color w:val="000000"/>
          <w:sz w:val="20"/>
          <w:szCs w:val="20"/>
        </w:rPr>
        <w:t xml:space="preserve">What AWS does not publish is any mechanism for resolving a CALL target that is only known at run time. </w:t>
      </w:r>
      <w:r>
        <w:rPr>
          <w:rFonts w:ascii="Calibri" w:cs="Calibri" w:eastAsia="Calibri" w:hAnsi="Calibri"/>
          <w:b w:val="false"/>
          <w:bCs w:val="false"/>
          <w:i w:val="false"/>
          <w:iCs w:val="false"/>
          <w:color w:val="000000"/>
          <w:sz w:val="20"/>
          <w:szCs w:val="20"/>
        </w:rPr>
        <w:t xml:space="preserve">There is no documented equivalent of CAST's Inference Engine tuning, no documented parameterisation file, no documented dynamic-link review workflow, and no published completeness metric for the call graph. The refactor tooling does publish a "Missing Labels" taxonomy — an unresolved COBOL CALL is labelled "Missing Program", an unresolved EXEC CICS transaction is labelled "Missing CICS Transaction Definition" — which shows unresolved edges are surfaced and typed, but that is inventory of the hole, not resolution of it. </w:t>
      </w:r>
      <w:r>
        <w:rPr>
          <w:rFonts w:ascii="Calibri" w:cs="Calibri" w:eastAsia="Calibri" w:hAnsi="Calibri"/>
          <w:b/>
          <w:bCs/>
          <w:i w:val="false"/>
          <w:iCs w:val="false"/>
          <w:color w:val="000000"/>
          <w:sz w:val="20"/>
          <w:szCs w:val="20"/>
        </w:rPr>
        <w:t xml:space="preserve">Whether AWS Transform resolves dynamic CALL targets to any degree, and by what method, is UNVERIFIED.</w:t>
      </w:r>
    </w:p>
    <w:p>
      <w:pPr>
        <w:spacing w:after="90" w:line="240"/>
        <w:jc w:val="left"/>
      </w:pPr>
      <w:r>
        <w:rPr>
          <w:rFonts w:ascii="Calibri" w:cs="Calibri" w:eastAsia="Calibri" w:hAnsi="Calibri"/>
          <w:b w:val="false"/>
          <w:bCs w:val="false"/>
          <w:i w:val="false"/>
          <w:iCs w:val="false"/>
          <w:color w:val="000000"/>
          <w:sz w:val="20"/>
          <w:szCs w:val="20"/>
        </w:rPr>
        <w:t xml:space="preserve">On the available evidence CAST is the stronger and far more controllable tool here. That judgement rests partly on CAST publishing its limits and AWS not publishing at all — a fair basis for a procurement decision, but not proof of a capability difference. It should be tested in a proof of concept on a real dispatcher program from the estate.</w:t>
      </w:r>
    </w:p>
    <w:p>
      <w:pPr>
        <w:pStyle w:val="Heading2"/>
        <w:spacing w:after="80" w:before="190"/>
      </w:pPr>
      <w:r>
        <w:rPr>
          <w:rFonts w:ascii="Calibri" w:cs="Calibri" w:eastAsia="Calibri" w:hAnsi="Calibri"/>
          <w:b/>
          <w:bCs/>
          <w:color w:val="1F3864"/>
          <w:sz w:val="22"/>
          <w:szCs w:val="22"/>
        </w:rPr>
        <w:t xml:space="preserve">4.3 Clone and near-duplicate detection</w:t>
      </w:r>
    </w:p>
    <w:p>
      <w:pPr>
        <w:spacing w:after="90" w:line="240"/>
        <w:jc w:val="left"/>
      </w:pPr>
      <w:r>
        <w:rPr>
          <w:rFonts w:ascii="Calibri" w:cs="Calibri" w:eastAsia="Calibri" w:hAnsi="Calibri"/>
          <w:b w:val="false"/>
          <w:bCs w:val="false"/>
          <w:i w:val="false"/>
          <w:iCs w:val="false"/>
          <w:color w:val="000000"/>
          <w:sz w:val="20"/>
          <w:szCs w:val="20"/>
        </w:rPr>
        <w:t xml:space="preserve">Real estates carry the same program deployed across many sites with near-identical content, and the programme must determine which variant is authoritative. Both tools are weak here, in different ways.</w:t>
      </w:r>
    </w:p>
    <w:p>
      <w:pPr>
        <w:spacing w:after="90" w:line="240"/>
        <w:jc w:val="left"/>
      </w:pPr>
      <w:r>
        <w:rPr>
          <w:rFonts w:ascii="Calibri" w:cs="Calibri" w:eastAsia="Calibri" w:hAnsi="Calibri"/>
          <w:b w:val="false"/>
          <w:bCs w:val="false"/>
          <w:i w:val="false"/>
          <w:iCs w:val="false"/>
          <w:color w:val="000000"/>
          <w:sz w:val="20"/>
          <w:szCs w:val="20"/>
        </w:rPr>
        <w:t xml:space="preserve">CAST has a metric — rule 7156, "Avoid Too Many Copy Pasted Artifacts" — computing similarity across the whole knowledge base by TF-IDF vectorisation and flagging artefacts above a 90 per cent threshold. Its documented constraints are significant: a minimum sample of roughly 5,000 lines, below which "slightly modified copy/paste code will not always be detected"; artefacts over ten lines only; and knowledge-base scoping, so results move when unrelated applications are added. Its documentation is written against AIP 8.2.x/8.3.x and the rule is absent from the current published COBOL rule set — whether it still runs in CAST Imaging v3 is UNVERIFIED. CAST Highlight has no code-duplication metric at all.</w:t>
      </w:r>
    </w:p>
    <w:p>
      <w:pPr>
        <w:spacing w:after="90" w:line="240"/>
        <w:jc w:val="left"/>
      </w:pPr>
      <w:r>
        <w:rPr>
          <w:rFonts w:ascii="Calibri" w:cs="Calibri" w:eastAsia="Calibri" w:hAnsi="Calibri"/>
          <w:b w:val="false"/>
          <w:bCs w:val="false"/>
          <w:i w:val="false"/>
          <w:iCs w:val="false"/>
          <w:color w:val="000000"/>
          <w:sz w:val="20"/>
          <w:szCs w:val="20"/>
        </w:rPr>
        <w:t xml:space="preserve">AWS Transform's refactor tooling has a better-targeted feature, though it addresses exact rather than near duplication. The Homonyms view lists every file sharing a name and type, colour-codes whether all, some or a subset are 100 per cent identical, offers a side-by-side compare, and exports the grouping to Excel. A companion Duplicated IDs view addresses conflicting program identifiers. For "the same program name exists in eleven site libraries — are they the same file?" this is directly useful. For "they differ by 40 lines, which is authoritative?" it gives you the diff and nothing more.</w:t>
      </w:r>
    </w:p>
    <w:p>
      <w:pPr>
        <w:spacing w:after="90" w:line="240"/>
        <w:jc w:val="left"/>
      </w:pPr>
      <w:r>
        <w:rPr>
          <w:rFonts w:ascii="Calibri" w:cs="Calibri" w:eastAsia="Calibri" w:hAnsi="Calibri"/>
          <w:b/>
          <w:bCs/>
          <w:i w:val="false"/>
          <w:iCs w:val="false"/>
          <w:color w:val="000000"/>
          <w:sz w:val="20"/>
          <w:szCs w:val="20"/>
        </w:rPr>
        <w:t xml:space="preserve">Neither tool determines authority. </w:t>
      </w:r>
      <w:r>
        <w:rPr>
          <w:rFonts w:ascii="Calibri" w:cs="Calibri" w:eastAsia="Calibri" w:hAnsi="Calibri"/>
          <w:b w:val="false"/>
          <w:bCs w:val="false"/>
          <w:i w:val="false"/>
          <w:iCs w:val="false"/>
          <w:color w:val="000000"/>
          <w:sz w:val="20"/>
          <w:szCs w:val="20"/>
        </w:rPr>
        <w:t xml:space="preserve">Neither ranks variants, infers a lineage, or tells the programme which variant is in production at which site. That decision requires load-library evidence, change-management history and SME judgement, and it should be planned as bespoke work.</w:t>
      </w:r>
    </w:p>
    <w:p>
      <w:pPr>
        <w:pStyle w:val="Heading2"/>
        <w:spacing w:after="80" w:before="190"/>
      </w:pPr>
      <w:r>
        <w:rPr>
          <w:rFonts w:ascii="Calibri" w:cs="Calibri" w:eastAsia="Calibri" w:hAnsi="Calibri"/>
          <w:b/>
          <w:bCs/>
          <w:color w:val="1F3864"/>
          <w:sz w:val="22"/>
          <w:szCs w:val="22"/>
        </w:rPr>
        <w:t xml:space="preserve">4.4 Logic that lives outside the COBOL</w:t>
      </w:r>
    </w:p>
    <w:p>
      <w:pPr>
        <w:spacing w:after="90" w:line="240"/>
        <w:jc w:val="left"/>
      </w:pPr>
      <w:r>
        <w:rPr>
          <w:rFonts w:ascii="Calibri" w:cs="Calibri" w:eastAsia="Calibri" w:hAnsi="Calibri"/>
          <w:b w:val="false"/>
          <w:bCs w:val="false"/>
          <w:i w:val="false"/>
          <w:iCs w:val="false"/>
          <w:color w:val="000000"/>
          <w:sz w:val="20"/>
          <w:szCs w:val="20"/>
        </w:rPr>
        <w:t xml:space="preserve">This is a genuine blind-spot class and it deserves an honest answer for both tools rather than a scored one.</w:t>
      </w:r>
    </w:p>
    <w:tbl>
      <w:tblPr>
        <w:tblW w:type="dxa" w:w="9360"/>
        <w:tblBorders>
          <w:top w:val="single" w:color="AEBAC9" w:sz="4"/>
          <w:left w:val="single" w:color="AEBAC9" w:sz="4"/>
          <w:bottom w:val="single" w:color="AEBAC9" w:sz="4"/>
          <w:right w:val="single" w:color="AEBAC9" w:sz="4"/>
          <w:insideH w:val="single" w:color="C9D2DD" w:sz="2"/>
          <w:insideV w:val="single" w:color="C9D2DD" w:sz="2"/>
        </w:tblBorders>
      </w:tblPr>
      <w:tblGrid>
        <w:gridCol w:w="2400"/>
        <w:gridCol w:w="3480"/>
        <w:gridCol w:w="3480"/>
      </w:tblGrid>
      <w:tr>
        <w:trPr>
          <w:cantSplit/>
          <w:tblHeader/>
        </w:trPr>
        <w:tc>
          <w:tcPr>
            <w:tcW w:type="dxa" w:w="2400"/>
            <w:shd w:fill="1F3864" w:color="auto" w:val="clear"/>
            <w:tcMar>
              <w:top w:type="dxa" w:w="40"/>
              <w:left w:type="dxa" w:w="80"/>
              <w:bottom w:type="dxa" w:w="40"/>
              <w:right w:type="dxa" w:w="80"/>
            </w:tcMar>
            <w:vAlign w:val="center"/>
          </w:tcPr>
          <w:p>
            <w:pPr>
              <w:spacing w:after="16" w:before="16" w:line="210"/>
              <w:jc w:val="left"/>
            </w:pPr>
            <w:r>
              <w:rPr>
                <w:rFonts w:ascii="Calibri" w:cs="Calibri" w:eastAsia="Calibri" w:hAnsi="Calibri"/>
                <w:b/>
                <w:bCs/>
                <w:i w:val="false"/>
                <w:iCs w:val="false"/>
                <w:color w:val="FFFFFF"/>
                <w:sz w:val="16"/>
                <w:szCs w:val="16"/>
              </w:rPr>
              <w:t xml:space="preserve">Logic location</w:t>
            </w:r>
          </w:p>
        </w:tc>
        <w:tc>
          <w:tcPr>
            <w:tcW w:type="dxa" w:w="3480"/>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CAST Imaging</w:t>
            </w:r>
          </w:p>
        </w:tc>
        <w:tc>
          <w:tcPr>
            <w:tcW w:type="dxa" w:w="3480"/>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AWS Transform</w:t>
            </w:r>
          </w:p>
        </w:tc>
      </w:tr>
      <w:tr>
        <w:trPr>
          <w:cantSplit/>
        </w:trPr>
        <w:tc>
          <w:tcPr>
            <w:tcW w:type="dxa" w:w="2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Sort utility control-card semantics (INCLUDE, OMIT, INREC, OUTREC, OUTFIL)</w:t>
            </w:r>
          </w:p>
        </w:tc>
        <w:tc>
          <w:tcPr>
            <w:tcW w:type="dxa" w:w="34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"IBM Control Card" is a covered language and cards are delivered and linked as artefacts. No documented interpretation of field-level sort semantics. UNVERIFIED at best; assume not covered.</w:t>
            </w:r>
          </w:p>
        </w:tc>
        <w:tc>
          <w:tcPr>
            <w:tcW w:type="dxa" w:w="34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Control cards ingested and a CTL transformation engine exists. Runtime provides a Java replacement for DFSORT. No documented extraction of card semantics as business rules. Assume not covered for reverse engineering.</w:t>
            </w:r>
          </w:p>
        </w:tc>
      </w:tr>
      <w:tr>
        <w:trPr>
          <w:cantSplit/>
        </w:trPr>
        <w:tc>
          <w:tcPr>
            <w:tcW w:type="dxa" w:w="2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Sort E15 / E35 user exit routines</w:t>
            </w:r>
          </w:p>
        </w:tc>
        <w:tc>
          <w:tcPr>
            <w:tcW w:type="dxa" w:w="34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Not documented anywhere. If written in HLASM, they fall into the thinnest of CAST's analysers. Not covered.</w:t>
            </w:r>
          </w:p>
        </w:tc>
        <w:tc>
          <w:tcPr>
            <w:tcW w:type="dxa" w:w="34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Not documented. Assembler exits are ingested but not transformed. Not covered.</w:t>
            </w:r>
          </w:p>
        </w:tc>
      </w:tr>
      <w:tr>
        <w:trPr>
          <w:cantSplit/>
        </w:trPr>
        <w:tc>
          <w:tcPr>
            <w:tcW w:type="dxa" w:w="2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JCL symbolic parameters supplied at submission</w:t>
            </w:r>
          </w:p>
        </w:tc>
        <w:tc>
          <w:tcPr>
            <w:tcW w:type="dxa" w:w="34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states explicitly that JCL parameterisation cannot process parameters external to JCL source files. Not covered.</w:t>
            </w:r>
          </w:p>
        </w:tc>
        <w:tc>
          <w:tcPr>
            <w:tcW w:type="dxa" w:w="34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JCL and PROCs ingested as source. No documented resolution of submit-time symbolic substitution into an effective JCL. Not covered.</w:t>
            </w:r>
          </w:p>
        </w:tc>
      </w:tr>
      <w:tr>
        <w:trPr>
          <w:cantSplit/>
        </w:trPr>
        <w:tc>
          <w:tcPr>
            <w:tcW w:type="dxa" w:w="2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Scheduler-held values and calendar/condition logic</w:t>
            </w:r>
          </w:p>
        </w:tc>
        <w:tc>
          <w:tcPr>
            <w:tcW w:type="dxa" w:w="34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Not a documented CAST input for z/OS schedulers. Not covered.</w:t>
            </w:r>
          </w:p>
        </w:tc>
        <w:tc>
          <w:tcPr>
            <w:tcW w:type="dxa" w:w="34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CA-7 LJOB reports ingested; Control-M and TWS covered in refactor dependency analysis. But AWS states scheduler assets are not modernised — they are used to find missing artefacts and to order batch test cases. Partially visible, not interpreted.</w:t>
            </w:r>
          </w:p>
        </w:tc>
      </w:tr>
      <w:tr>
        <w:trPr>
          <w:cantSplit/>
        </w:trPr>
        <w:tc>
          <w:tcPr>
            <w:tcW w:type="dxa" w:w="2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PROC overrides on the EXEC statement</w:t>
            </w:r>
          </w:p>
        </w:tc>
        <w:tc>
          <w:tcPr>
            <w:tcW w:type="dxa" w:w="34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PROCs must be delivered or results are partial. Override resolution behaviour is not documented. UNVERIFIED.</w:t>
            </w:r>
          </w:p>
        </w:tc>
        <w:tc>
          <w:tcPr>
            <w:tcW w:type="dxa" w:w="34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PROCs ingested. Override resolution behaviour is not documented. UNVERIFIED.</w:t>
            </w:r>
          </w:p>
        </w:tc>
      </w:tr>
      <w:tr>
        <w:trPr>
          <w:cantSplit/>
        </w:trPr>
        <w:tc>
          <w:tcPr>
            <w:tcW w:type="dxa" w:w="2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Run-time behaviour (what actually ran, how often, when)</w:t>
            </w:r>
          </w:p>
        </w:tc>
        <w:tc>
          <w:tcPr>
            <w:tcW w:type="dxa" w:w="34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None. Source-only tool.</w:t>
            </w:r>
          </w:p>
        </w:tc>
        <w:tc>
          <w:tcPr>
            <w:tcW w:type="dxa" w:w="34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SMF 30 and 110 records, thirteen months recommended, giving batch job and CICS transaction usage. A real capability with no CAST equivalent.</w:t>
            </w:r>
          </w:p>
        </w:tc>
      </w:tr>
    </w:tbl>
    <w:p>
      <w:pPr>
        <w:spacing w:after="150" w:before="60"/>
      </w:pPr>
      <w:r>
        <w:rPr>
          <w:rFonts w:ascii="Calibri" w:cs="Calibri" w:eastAsia="Calibri" w:hAnsi="Calibri"/>
          <w:i/>
          <w:iCs/>
          <w:color w:val="595959"/>
          <w:sz w:val="15"/>
          <w:szCs w:val="15"/>
        </w:rPr>
        <w:t xml:space="preserve">Table 3. Logic outside the COBOL — honest assessment for both platforms.</w:t>
      </w:r>
    </w:p>
    <w:p>
      <w:pPr>
        <w:spacing w:after="90" w:line="240"/>
        <w:jc w:val="left"/>
      </w:pPr>
      <w:r>
        <w:rPr>
          <w:rFonts w:ascii="Calibri" w:cs="Calibri" w:eastAsia="Calibri" w:hAnsi="Calibri"/>
          <w:b w:val="false"/>
          <w:bCs w:val="false"/>
          <w:i w:val="false"/>
          <w:iCs w:val="false"/>
          <w:color w:val="000000"/>
          <w:sz w:val="20"/>
          <w:szCs w:val="20"/>
        </w:rPr>
        <w:t xml:space="preserve">The fair summary: AWS Transform has more of the raw evidence in scope — it will at least ingest scheduler reports and SMF — while neither platform converts that evidence into extracted, traceable business logic. An estate that has spent thirty years pushing edge-case handling into sort cards and JCL parameters should fund a dedicated workstream here regardless of which tool it buys.</w:t>
      </w:r>
    </w:p>
    <w:p>
      <w:pPr>
        <w:pStyle w:val="Heading2"/>
        <w:spacing w:after="80" w:before="190"/>
      </w:pPr>
      <w:r>
        <w:rPr>
          <w:rFonts w:ascii="Calibri" w:cs="Calibri" w:eastAsia="Calibri" w:hAnsi="Calibri"/>
          <w:b/>
          <w:bCs/>
          <w:color w:val="1F3864"/>
          <w:sz w:val="22"/>
          <w:szCs w:val="22"/>
        </w:rPr>
        <w:t xml:space="preserve">4.5 Cross-application coupling via shared datasets with no declared owner</w:t>
      </w:r>
    </w:p>
    <w:p>
      <w:pPr>
        <w:spacing w:after="90" w:line="240"/>
        <w:jc w:val="left"/>
      </w:pPr>
      <w:r>
        <w:rPr>
          <w:rFonts w:ascii="Calibri" w:cs="Calibri" w:eastAsia="Calibri" w:hAnsi="Calibri"/>
          <w:b w:val="false"/>
          <w:bCs w:val="false"/>
          <w:i w:val="false"/>
          <w:iCs w:val="false"/>
          <w:color w:val="000000"/>
          <w:sz w:val="20"/>
          <w:szCs w:val="20"/>
        </w:rPr>
        <w:t xml:space="preserve">Both tools handle this well, and this is where they are closest.</w:t>
      </w:r>
    </w:p>
    <w:p>
      <w:pPr>
        <w:spacing w:after="90" w:line="240"/>
        <w:jc w:val="left"/>
      </w:pPr>
      <w:r>
        <w:rPr>
          <w:rFonts w:ascii="Calibri" w:cs="Calibri" w:eastAsia="Calibri" w:hAnsi="Calibri"/>
          <w:b w:val="false"/>
          <w:bCs w:val="false"/>
          <w:i w:val="false"/>
          <w:iCs w:val="false"/>
          <w:color w:val="000000"/>
          <w:sz w:val="20"/>
          <w:szCs w:val="20"/>
        </w:rPr>
        <w:t xml:space="preserve">CAST models datasets as first-class objects, supports a Data Call Graph scope answering "which objects read from and write to this table", provides a Path Finder between any two objects, and offers callers-and-callees traversal to any depth. The caveats: all coupled applications must be onboarded into the same knowledge base for cross-application edges to exist, and links CAST cannot fully validate are tagged "dynamic" and require the mandatory manual review.</w:t>
      </w:r>
    </w:p>
    <w:p>
      <w:pPr>
        <w:spacing w:after="90" w:line="240"/>
        <w:jc w:val="left"/>
      </w:pPr>
      <w:r>
        <w:rPr>
          <w:rFonts w:ascii="Calibri" w:cs="Calibri" w:eastAsia="Calibri" w:hAnsi="Calibri"/>
          <w:b w:val="false"/>
          <w:bCs w:val="false"/>
          <w:i w:val="false"/>
          <w:iCs w:val="false"/>
          <w:color w:val="000000"/>
          <w:sz w:val="20"/>
          <w:szCs w:val="20"/>
        </w:rPr>
        <w:t xml:space="preserve">AWS Transform's data analysis maps Db2 tables and VSAM files across the portfolio, identifies which programs read, write, update or delete each, traces lineage across programs and JCL jobs, and — most relevantly — "maps dependencies between business functions by identifying shared data stores", explicitly to inform wave planning. That is the shared-dataset coupling question, framed as a sequencing output rather than a graph query.</w:t>
      </w:r>
    </w:p>
    <w:p>
      <w:pPr>
        <w:spacing w:after="90" w:line="240"/>
        <w:jc w:val="left"/>
      </w:pPr>
      <w:r>
        <w:rPr>
          <w:rFonts w:ascii="Calibri" w:cs="Calibri" w:eastAsia="Calibri" w:hAnsi="Calibri"/>
          <w:b w:val="false"/>
          <w:bCs w:val="false"/>
          <w:i w:val="false"/>
          <w:iCs w:val="false"/>
          <w:color w:val="000000"/>
          <w:sz w:val="20"/>
          <w:szCs w:val="20"/>
        </w:rPr>
        <w:t xml:space="preserve">Neither tool establishes ownership; both establish access. Where a dataset is written by one application and read by four others with no declared contract, both will show the five edges — but who is accountable for the record layout, and who breaks if it changes, is answered by neither.</w:t>
      </w:r>
    </w:p>
    <w:p>
      <w:pPr>
        <w:pStyle w:val="Heading2"/>
        <w:spacing w:after="80" w:before="190"/>
      </w:pPr>
      <w:r>
        <w:rPr>
          <w:rFonts w:ascii="Calibri" w:cs="Calibri" w:eastAsia="Calibri" w:hAnsi="Calibri"/>
          <w:b/>
          <w:bCs/>
          <w:color w:val="1F3864"/>
          <w:sz w:val="22"/>
          <w:szCs w:val="22"/>
        </w:rPr>
        <w:t xml:space="preserve">4.6 Dead code and dormant feature identification</w:t>
      </w:r>
    </w:p>
    <w:p>
      <w:pPr>
        <w:spacing w:after="90" w:line="240"/>
        <w:jc w:val="left"/>
      </w:pPr>
      <w:r>
        <w:rPr>
          <w:rFonts w:ascii="Calibri" w:cs="Calibri" w:eastAsia="Calibri" w:hAnsi="Calibri"/>
          <w:b w:val="false"/>
          <w:bCs w:val="false"/>
          <w:i w:val="false"/>
          <w:iCs w:val="false"/>
          <w:color w:val="000000"/>
          <w:sz w:val="20"/>
          <w:szCs w:val="20"/>
        </w:rPr>
        <w:t xml:space="preserve">CAST's dead-code answer is narrower than its reputation suggests. The published COBOL rule set contains one unreferenced-code rule, "Avoid unreferenced Sections and Paragraphs"; there is no equivalent unreferenced-program rule. Unreferenced components appear as a dashboard diagnostic, but CAST states that diagnostic is degraded by unvalidated dynamic links, and separately markets parameterisation as a way to "reduce the number of unreferenced components" — an admission that the count is inflated until an analyst hand-writes XML rules. CAST's own warning is worth repeating: "Unreferenced code can also be the symptom of missing code." Note too that unreferenced copybooks are excluded by default, so orphan copybooks are dropped rather than reported.</w:t>
      </w:r>
    </w:p>
    <w:p>
      <w:pPr>
        <w:spacing w:after="90" w:line="240"/>
        <w:jc w:val="left"/>
      </w:pPr>
      <w:r>
        <w:rPr>
          <w:rFonts w:ascii="Calibri" w:cs="Calibri" w:eastAsia="Calibri" w:hAnsi="Calibri"/>
          <w:b w:val="false"/>
          <w:bCs w:val="false"/>
          <w:i w:val="false"/>
          <w:iCs w:val="false"/>
          <w:color w:val="000000"/>
          <w:sz w:val="20"/>
          <w:szCs w:val="20"/>
        </w:rPr>
        <w:t xml:space="preserve">AWS Transform publishes no dead-code report as such, but it does have thirteen months of SMF-derived execution evidence for batch jobs and CICS transactions. For dormant-feature identification — the transaction that is coded, reachable and has not been driven in eleven months — that is stronger evidence than static analysis can produce, because it is observation rather than inference.</w:t>
      </w:r>
    </w:p>
    <w:p>
      <w:pPr>
        <w:spacing w:after="90" w:line="240"/>
        <w:jc w:val="left"/>
      </w:pPr>
      <w:r>
        <w:rPr>
          <w:rFonts w:ascii="Calibri" w:cs="Calibri" w:eastAsia="Calibri" w:hAnsi="Calibri"/>
          <w:b/>
          <w:bCs/>
          <w:i w:val="false"/>
          <w:iCs w:val="false"/>
          <w:color w:val="000000"/>
          <w:sz w:val="20"/>
          <w:szCs w:val="20"/>
        </w:rPr>
        <w:t xml:space="preserve">The two are complementary rather than competing: </w:t>
      </w:r>
      <w:r>
        <w:rPr>
          <w:rFonts w:ascii="Calibri" w:cs="Calibri" w:eastAsia="Calibri" w:hAnsi="Calibri"/>
          <w:b w:val="false"/>
          <w:bCs w:val="false"/>
          <w:i w:val="false"/>
          <w:iCs w:val="false"/>
          <w:color w:val="000000"/>
          <w:sz w:val="20"/>
          <w:szCs w:val="20"/>
        </w:rPr>
        <w:t xml:space="preserve">CAST tells you what is unreachable in the code; SMF tells you what is reachable but unused. A programme that has both, and reconciles them, has a defensible decommissioning case. A programme that has only one will either delete something that is called from a dispatcher CAST could not resolve, or carry forward thousands of lines that have not executed since 2019.</w:t>
      </w:r>
    </w:p>
    <w:p>
      <w:pPr>
        <w:pStyle w:val="Heading2"/>
        <w:spacing w:after="80" w:before="190"/>
      </w:pPr>
      <w:r>
        <w:rPr>
          <w:rFonts w:ascii="Calibri" w:cs="Calibri" w:eastAsia="Calibri" w:hAnsi="Calibri"/>
          <w:b/>
          <w:bCs/>
          <w:color w:val="1F3864"/>
          <w:sz w:val="22"/>
          <w:szCs w:val="22"/>
        </w:rPr>
        <w:t xml:space="preserve">4.7 Output formats and downstream consumability</w:t>
      </w:r>
    </w:p>
    <w:p>
      <w:pPr>
        <w:spacing w:after="90" w:line="240"/>
        <w:jc w:val="left"/>
      </w:pPr>
      <w:r>
        <w:rPr>
          <w:rFonts w:ascii="Calibri" w:cs="Calibri" w:eastAsia="Calibri" w:hAnsi="Calibri"/>
          <w:b w:val="false"/>
          <w:bCs w:val="false"/>
          <w:i w:val="false"/>
          <w:iCs w:val="false"/>
          <w:color w:val="000000"/>
          <w:sz w:val="20"/>
          <w:szCs w:val="20"/>
        </w:rPr>
        <w:t xml:space="preserve">CAST exports to CSV, XLSX, JSON, JPG and SVG, with a consistent field set covering source and target object names and types, caller and callee, link direction and type, complexity metrics and line counts. A documented REST API covers applications, call paths, transactions and object data graphs. There is no GraphML export. CAST also ships an MCP server — roughly fifty tools with a meta-tool mode, deployable on Windows, Linux/Docker, Linux/Podman and air-gapped — explicitly to let AI coding agents ground themselves in the CAST graph.</w:t>
      </w:r>
    </w:p>
    <w:p>
      <w:pPr>
        <w:spacing w:after="90" w:line="240"/>
        <w:jc w:val="left"/>
      </w:pPr>
      <w:r>
        <w:rPr>
          <w:rFonts w:ascii="Calibri" w:cs="Calibri" w:eastAsia="Calibri" w:hAnsi="Calibri"/>
          <w:b/>
          <w:bCs/>
          <w:i w:val="false"/>
          <w:iCs w:val="false"/>
          <w:color w:val="000000"/>
          <w:sz w:val="20"/>
          <w:szCs w:val="20"/>
        </w:rPr>
        <w:t xml:space="preserve">CAST does not claim its output drives an automated transform, and it should not be positioned as if it does. </w:t>
      </w:r>
      <w:r>
        <w:rPr>
          <w:rFonts w:ascii="Calibri" w:cs="Calibri" w:eastAsia="Calibri" w:hAnsi="Calibri"/>
          <w:b w:val="false"/>
          <w:bCs w:val="false"/>
          <w:i w:val="false"/>
          <w:iCs w:val="false"/>
          <w:color w:val="000000"/>
          <w:sz w:val="20"/>
          <w:szCs w:val="20"/>
        </w:rPr>
        <w:t xml:space="preserve">CAST's own mainframe modernisation guidance frames the output as input to a five-phase human-led planning framework and states that results "should be considered as an initial assessment providing points of interest that require further investigation". The honest description is: analyst-consumed intelligence, and high-quality grounding context for a human or agentic forward-engineering effort.</w:t>
      </w:r>
    </w:p>
    <w:p>
      <w:pPr>
        <w:spacing w:after="90" w:line="240"/>
        <w:jc w:val="left"/>
      </w:pPr>
      <w:r>
        <w:rPr>
          <w:rFonts w:ascii="Calibri" w:cs="Calibri" w:eastAsia="Calibri" w:hAnsi="Calibri"/>
          <w:b w:val="false"/>
          <w:bCs w:val="false"/>
          <w:i w:val="false"/>
          <w:iCs w:val="false"/>
          <w:color w:val="000000"/>
          <w:sz w:val="20"/>
          <w:szCs w:val="20"/>
        </w:rPr>
        <w:t xml:space="preserve">AWS Transform's outputs are structurally different and, for this programme, more directly consumable. Each business function produces a self-contained folder: requirements as user stories with rules in EARS notation classified by behaviour type, testable acceptance criteria, data flows showing what each capability reads and writes, program metadata to inform architecture decisions, and a traceability matrix mapping every rule to captured, not-applicable or delegated with exact source-line references. AWS states these artefacts "feed directly into AI coding tools and IDEs" and documents a Kiro IDE connector. Separately, the refactor path can drive a genuinely automated COBOL-to-Java transformation — with the qualification in section 7.</w:t>
      </w:r>
    </w:p>
    <w:p>
      <w:pPr>
        <w:pStyle w:val="Heading2"/>
        <w:spacing w:after="80" w:before="190"/>
      </w:pPr>
      <w:r>
        <w:rPr>
          <w:rFonts w:ascii="Calibri" w:cs="Calibri" w:eastAsia="Calibri" w:hAnsi="Calibri"/>
          <w:b/>
          <w:bCs/>
          <w:color w:val="1F3864"/>
          <w:sz w:val="22"/>
          <w:szCs w:val="22"/>
        </w:rPr>
        <w:t xml:space="preserve">4.8 Deployment, commercial model and data residency</w:t>
      </w:r>
    </w:p>
    <w:p>
      <w:pPr>
        <w:spacing w:after="90" w:line="240"/>
        <w:jc w:val="left"/>
      </w:pPr>
      <w:r>
        <w:rPr>
          <w:rFonts w:ascii="Calibri" w:cs="Calibri" w:eastAsia="Calibri" w:hAnsi="Calibri"/>
          <w:b w:val="false"/>
          <w:bCs w:val="false"/>
          <w:i w:val="false"/>
          <w:iCs w:val="false"/>
          <w:color w:val="000000"/>
          <w:sz w:val="20"/>
          <w:szCs w:val="20"/>
        </w:rPr>
        <w:t xml:space="preserve">This matters because client source code must be processed, and a Tier-1 carrier's billing and provisioning source is among its more sensitive assets.</w:t>
      </w:r>
    </w:p>
    <w:p>
      <w:pPr>
        <w:spacing w:after="90" w:line="240"/>
        <w:jc w:val="left"/>
      </w:pPr>
      <w:r>
        <w:rPr>
          <w:rFonts w:ascii="Calibri" w:cs="Calibri" w:eastAsia="Calibri" w:hAnsi="Calibri"/>
          <w:b w:val="false"/>
          <w:bCs w:val="false"/>
          <w:i w:val="false"/>
          <w:iCs w:val="false"/>
          <w:color w:val="000000"/>
          <w:sz w:val="20"/>
          <w:szCs w:val="20"/>
        </w:rPr>
        <w:t xml:space="preserve">CAST Imaging runs inside the customer's perimeter; source is analysed in place and is not moved into delivery or deploy folders. An Extend Local Server supports environments without internet access. In the SaaS variant no source is uploaded — only analysis metadata — and an offline analyser exists for air-gapped work; the ISMS behind it is certified to ISO/IEC 27001:2022. Pricing is public and per-application, banded by lines of code, so a 142-application estate is straightforward to model up to 4 million lines per application and a quote conversation above that.</w:t>
      </w:r>
    </w:p>
    <w:p>
      <w:pPr>
        <w:spacing w:after="90" w:line="240"/>
        <w:jc w:val="left"/>
      </w:pPr>
      <w:r>
        <w:rPr>
          <w:rFonts w:ascii="Calibri" w:cs="Calibri" w:eastAsia="Calibri" w:hAnsi="Calibri"/>
          <w:b w:val="false"/>
          <w:bCs w:val="false"/>
          <w:i w:val="false"/>
          <w:iCs w:val="false"/>
          <w:color w:val="000000"/>
          <w:sz w:val="20"/>
          <w:szCs w:val="20"/>
        </w:rPr>
        <w:t xml:space="preserve">AWS Transform requires source to be uploaded to an S3 bucket in the customer's own account — a defensible posture — but the analysis runs on Amazon Bedrock using geographic cross-region inference. AWS states data is stored in the Region where the profile was created, that cross-region inference stays within the geography where the data resides, and that all data is encrypted in transit. For a US-domiciled carrier a us-east-1 profile routes inference to us-east-1, us-east-2 and us-west-2 — all in-country, which will satisfy most US residency positions, but is a specific fact to put in front of reviewers rather than assume.</w:t>
      </w:r>
    </w:p>
    <w:p>
      <w:pPr>
        <w:spacing w:after="90" w:line="240"/>
        <w:jc w:val="left"/>
      </w:pPr>
      <w:r>
        <w:rPr>
          <w:rFonts w:ascii="Calibri" w:cs="Calibri" w:eastAsia="Calibri" w:hAnsi="Calibri"/>
          <w:b/>
          <w:bCs/>
          <w:i w:val="false"/>
          <w:iCs w:val="false"/>
          <w:color w:val="000000"/>
          <w:sz w:val="20"/>
          <w:szCs w:val="20"/>
        </w:rPr>
        <w:t xml:space="preserve">One item requires explicit action rather than assessment. </w:t>
      </w:r>
      <w:r>
        <w:rPr>
          <w:rFonts w:ascii="Calibri" w:cs="Calibri" w:eastAsia="Calibri" w:hAnsi="Calibri"/>
          <w:b w:val="false"/>
          <w:bCs w:val="false"/>
          <w:i w:val="false"/>
          <w:iCs w:val="false"/>
          <w:color w:val="000000"/>
          <w:sz w:val="20"/>
          <w:szCs w:val="20"/>
        </w:rPr>
        <w:t xml:space="preserve">AWS states it may use content from AWS Transform — including questions asked and "the responses and code that AWS Transform generates" — for service improvement, which it lists as including model training. Opting out is done by configuring an AI services opt-out policy in AWS Organizations. For a client estate this is not optional: the opt-out policy must be in place and evidenced before the first upload.</w:t>
      </w:r>
    </w:p>
    <w:p>
      <w:pPr>
        <w:pStyle w:val="Heading2"/>
        <w:spacing w:after="80" w:before="190"/>
      </w:pPr>
      <w:r>
        <w:rPr>
          <w:rFonts w:ascii="Calibri" w:cs="Calibri" w:eastAsia="Calibri" w:hAnsi="Calibri"/>
          <w:b/>
          <w:bCs/>
          <w:color w:val="1F3864"/>
          <w:sz w:val="22"/>
          <w:szCs w:val="22"/>
        </w:rPr>
        <w:t xml:space="preserve">4.9 GenAI governance exposure</w:t>
      </w:r>
    </w:p>
    <w:p>
      <w:pPr>
        <w:spacing w:after="90" w:line="240"/>
        <w:jc w:val="left"/>
      </w:pPr>
      <w:r>
        <w:rPr>
          <w:rFonts w:ascii="Calibri" w:cs="Calibri" w:eastAsia="Calibri" w:hAnsi="Calibri"/>
          <w:b w:val="false"/>
          <w:bCs w:val="false"/>
          <w:i w:val="false"/>
          <w:iCs w:val="false"/>
          <w:color w:val="000000"/>
          <w:sz w:val="20"/>
          <w:szCs w:val="20"/>
        </w:rPr>
        <w:t xml:space="preserve">This is a programme-schedule consideration as much as a technical one, and it is the clearest differentiator in the assessment.</w:t>
      </w:r>
    </w:p>
    <w:p>
      <w:pPr>
        <w:spacing w:after="90" w:line="240"/>
        <w:jc w:val="left"/>
      </w:pPr>
      <w:r>
        <w:rPr>
          <w:rFonts w:ascii="Calibri" w:cs="Calibri" w:eastAsia="Calibri" w:hAnsi="Calibri"/>
          <w:b w:val="false"/>
          <w:bCs w:val="false"/>
          <w:i w:val="false"/>
          <w:iCs w:val="false"/>
          <w:color w:val="000000"/>
          <w:sz w:val="20"/>
          <w:szCs w:val="20"/>
        </w:rPr>
        <w:t xml:space="preserve">AWS Transform is agentic and Bedrock-backed by design; there is no non-AI mode. Business-function grouping is explicitly performed by an LLM, and documentation, rule descriptions and requirements are LLM-generated even where the underlying slicing and data-path tracing are deterministic. It will require the full four-stage review on a realistic two-to-four-month cycle. That is not a criticism of the product — it is a fixed cost of using it, and it must appear on the programme plan as a dependency with a start date, not an assumption.</w:t>
      </w:r>
    </w:p>
    <w:p>
      <w:pPr>
        <w:spacing w:after="90" w:line="240"/>
        <w:jc w:val="left"/>
      </w:pPr>
      <w:r>
        <w:rPr>
          <w:rFonts w:ascii="Calibri" w:cs="Calibri" w:eastAsia="Calibri" w:hAnsi="Calibri"/>
          <w:b w:val="false"/>
          <w:bCs w:val="false"/>
          <w:i w:val="false"/>
          <w:iCs w:val="false"/>
          <w:color w:val="000000"/>
          <w:sz w:val="20"/>
          <w:szCs w:val="20"/>
        </w:rPr>
        <w:t xml:space="preserve">CAST Imaging is different in a materially useful way. The analytical core — parsing, the knowledge base, the Inference Engine, transaction discovery, the copy-paste metric — is deterministic and carries no LLM dependency. CAST ships six optional AI-assisted features, but these are off until an administrator supplies provider credentials, and the provider is the customer's choice including a fully local Ollama deployment. Its MCP server sends object names, types, file paths, relationships and metrics to whatever LLM the client points it at, but source-code snippets are gated behind a setting that defaults to false.</w:t>
      </w:r>
    </w:p>
    <w:p>
      <w:pPr>
        <w:spacing w:after="90" w:line="240"/>
        <w:jc w:val="left"/>
      </w:pPr>
      <w:r>
        <w:rPr>
          <w:rFonts w:ascii="Calibri" w:cs="Calibri" w:eastAsia="Calibri" w:hAnsi="Calibri"/>
          <w:b/>
          <w:bCs/>
          <w:i w:val="false"/>
          <w:iCs w:val="false"/>
          <w:color w:val="000000"/>
          <w:sz w:val="20"/>
          <w:szCs w:val="20"/>
        </w:rPr>
        <w:t xml:space="preserve">Two caveats keep this honest. </w:t>
      </w:r>
      <w:r>
        <w:rPr>
          <w:rFonts w:ascii="Calibri" w:cs="Calibri" w:eastAsia="Calibri" w:hAnsi="Calibri"/>
          <w:b w:val="false"/>
          <w:bCs w:val="false"/>
          <w:i w:val="false"/>
          <w:iCs w:val="false"/>
          <w:color w:val="000000"/>
          <w:sz w:val="20"/>
          <w:szCs w:val="20"/>
        </w:rPr>
        <w:t xml:space="preserve">First, CAST states on its own AI settings page that by configuring an AI provider, users will be able to send source-code snippets to that provider and that "CAST Imaging does not provide any specific governance of this" — the control is organisational, not technical. Second, even with code egress disabled, object names and file paths do leave the perimeter when MCP is used. The defensible programme position is therefore: deploy CAST Imaging with AI features disabled by policy and by configuration, treat any later enablement as a separate governance submission, and gain months of usable output in the meantime.</w:t>
      </w:r>
    </w:p>
    <w:p>
      <w:pPr>
        <w:pStyle w:val="Heading2"/>
        <w:spacing w:after="80" w:before="190"/>
      </w:pPr>
      <w:r>
        <w:rPr>
          <w:rFonts w:ascii="Calibri" w:cs="Calibri" w:eastAsia="Calibri" w:hAnsi="Calibri"/>
          <w:b/>
          <w:bCs/>
          <w:color w:val="1F3864"/>
          <w:sz w:val="22"/>
          <w:szCs w:val="22"/>
        </w:rPr>
        <w:t xml:space="preserve">4.10 Effort to first useful output and analyst skill required</w:t>
      </w:r>
    </w:p>
    <w:p>
      <w:pPr>
        <w:spacing w:after="90" w:line="240"/>
        <w:jc w:val="left"/>
      </w:pPr>
      <w:r>
        <w:rPr>
          <w:rFonts w:ascii="Calibri" w:cs="Calibri" w:eastAsia="Calibri" w:hAnsi="Calibri"/>
          <w:b w:val="false"/>
          <w:bCs w:val="false"/>
          <w:i w:val="false"/>
          <w:iCs w:val="false"/>
          <w:color w:val="000000"/>
          <w:sz w:val="20"/>
          <w:szCs w:val="20"/>
        </w:rPr>
        <w:t xml:space="preserve">CAST is the slower and more demanding. It states plainly that "the onboarding with Fast Scan process is not a quick one-shot onboarding" and prescribes a three-iteration agile method, with the second iteration conditional on source gaps having been closed. Dynamic-link validation is mandatory and assigned to an "AIP Super Operator" role; function-point calibration requires FP experts; a certification programme exists through CAST University. CAST publishes no typical onboarding duration, and none should be invented — but the shape of the process implies specialist skill and a multi-week ramp per application family.</w:t>
      </w:r>
    </w:p>
    <w:p>
      <w:pPr>
        <w:spacing w:after="90" w:line="240"/>
        <w:jc w:val="left"/>
      </w:pPr>
      <w:r>
        <w:rPr>
          <w:rFonts w:ascii="Calibri" w:cs="Calibri" w:eastAsia="Calibri" w:hAnsi="Calibri"/>
          <w:b w:val="false"/>
          <w:bCs w:val="false"/>
          <w:i w:val="false"/>
          <w:iCs w:val="false"/>
          <w:color w:val="000000"/>
          <w:sz w:val="20"/>
          <w:szCs w:val="20"/>
        </w:rPr>
        <w:t xml:space="preserve">AWS Transform has a lower analyst skill floor by design: a chat objective, a plan, and human approval at checkpoints. The real effort is upstream, in source collection — CSD via DFHCSDUP, IMS Stage 1 via DFSURDD0, CA-7 LJOB reports with the right carriage control, and thirteen months of SMF in raw binary EBCDIC with RDW bytes intact under 5 GB compressed. That is systems-programmer work, not analyst work, and must be scheduled with the platform team. AWS publishes no end-to-end durations either.</w:t>
      </w:r>
    </w:p>
    <w:p>
      <w:pPr>
        <w:spacing w:after="90" w:line="240"/>
        <w:jc w:val="left"/>
      </w:pPr>
      <w:r>
        <w:rPr>
          <w:rFonts w:ascii="Calibri" w:cs="Calibri" w:eastAsia="Calibri" w:hAnsi="Calibri"/>
          <w:b w:val="false"/>
          <w:bCs w:val="false"/>
          <w:i w:val="false"/>
          <w:iCs w:val="false"/>
          <w:color w:val="000000"/>
          <w:sz w:val="20"/>
          <w:szCs w:val="20"/>
        </w:rPr>
        <w:t xml:space="preserve">Neither tool's ramp is trivial across 142 applications, and both should be piloted on the same two or three representative applications before any estate-wide commitment.</w:t>
      </w:r>
    </w:p>
    <w:p>
      <w:pPr>
        <w:pStyle w:val="Heading1"/>
        <w:spacing w:after="110" w:before="260"/>
      </w:pPr>
      <w:r>
        <w:rPr>
          <w:rFonts w:ascii="Calibri" w:cs="Calibri" w:eastAsia="Calibri" w:hAnsi="Calibri"/>
          <w:b/>
          <w:bCs/>
          <w:color w:val="1F3864"/>
          <w:sz w:val="27"/>
          <w:szCs w:val="27"/>
        </w:rPr>
        <w:t xml:space="preserve">5. Scored comparison</w:t>
      </w:r>
    </w:p>
    <w:p>
      <w:pPr>
        <w:spacing w:after="90" w:line="240"/>
        <w:jc w:val="left"/>
      </w:pPr>
      <w:r>
        <w:rPr>
          <w:rFonts w:ascii="Calibri" w:cs="Calibri" w:eastAsia="Calibri" w:hAnsi="Calibri"/>
          <w:b w:val="false"/>
          <w:bCs w:val="false"/>
          <w:i w:val="false"/>
          <w:iCs w:val="false"/>
          <w:color w:val="000000"/>
          <w:sz w:val="20"/>
          <w:szCs w:val="20"/>
        </w:rPr>
        <w:t xml:space="preserve">Scores are 1 (weak) to 5 (strong) against the needs of this programme, not the general market. Weights reflect the programme's constraints. Where evidence was absent the score is capped and the reason is stated in the criterion section above.</w:t>
      </w:r>
    </w:p>
    <w:tbl>
      <w:tblPr>
        <w:tblW w:type="dxa" w:w="9360"/>
        <w:tblBorders>
          <w:top w:val="single" w:color="AEBAC9" w:sz="4"/>
          <w:left w:val="single" w:color="AEBAC9" w:sz="4"/>
          <w:bottom w:val="single" w:color="AEBAC9" w:sz="4"/>
          <w:right w:val="single" w:color="AEBAC9" w:sz="4"/>
          <w:insideH w:val="single" w:color="C9D2DD" w:sz="2"/>
          <w:insideV w:val="single" w:color="C9D2DD" w:sz="2"/>
        </w:tblBorders>
      </w:tblPr>
      <w:tblGrid>
        <w:gridCol w:w="3200"/>
        <w:gridCol w:w="760"/>
        <w:gridCol w:w="760"/>
        <w:gridCol w:w="900"/>
        <w:gridCol w:w="3740"/>
      </w:tblGrid>
      <w:tr>
        <w:trPr>
          <w:cantSplit/>
          <w:tblHeader/>
        </w:trPr>
        <w:tc>
          <w:tcPr>
            <w:tcW w:type="dxa" w:w="3200"/>
            <w:shd w:fill="1F3864" w:color="auto" w:val="clear"/>
            <w:tcMar>
              <w:top w:type="dxa" w:w="40"/>
              <w:left w:type="dxa" w:w="80"/>
              <w:bottom w:type="dxa" w:w="40"/>
              <w:right w:type="dxa" w:w="80"/>
            </w:tcMar>
            <w:vAlign w:val="center"/>
          </w:tcPr>
          <w:p>
            <w:pPr>
              <w:spacing w:after="16" w:before="16" w:line="210"/>
              <w:jc w:val="left"/>
            </w:pPr>
            <w:r>
              <w:rPr>
                <w:rFonts w:ascii="Calibri" w:cs="Calibri" w:eastAsia="Calibri" w:hAnsi="Calibri"/>
                <w:b/>
                <w:bCs/>
                <w:i w:val="false"/>
                <w:iCs w:val="false"/>
                <w:color w:val="FFFFFF"/>
                <w:sz w:val="16"/>
                <w:szCs w:val="16"/>
              </w:rPr>
              <w:t xml:space="preserve">Criterion</w:t>
            </w:r>
          </w:p>
        </w:tc>
        <w:tc>
          <w:tcPr>
            <w:tcW w:type="dxa" w:w="760"/>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Weight</w:t>
            </w:r>
          </w:p>
        </w:tc>
        <w:tc>
          <w:tcPr>
            <w:tcW w:type="dxa" w:w="760"/>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CAST</w:t>
            </w:r>
          </w:p>
        </w:tc>
        <w:tc>
          <w:tcPr>
            <w:tcW w:type="dxa" w:w="900"/>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AWS Tf</w:t>
            </w:r>
          </w:p>
        </w:tc>
        <w:tc>
          <w:tcPr>
            <w:tcW w:type="dxa" w:w="3740"/>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Basis for the difference</w:t>
            </w:r>
          </w:p>
        </w:tc>
      </w:tr>
      <w:tr>
        <w:trPr>
          <w:cantSplit/>
        </w:trPr>
        <w:tc>
          <w:tcPr>
            <w:tcW w:type="dxa" w:w="3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Language and subsystem coverage</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12%</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4</w:t>
            </w:r>
          </w:p>
        </w:tc>
        <w:tc>
          <w:tcPr>
            <w:tcW w:type="dxa" w:w="90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3</w:t>
            </w:r>
          </w:p>
        </w:tc>
        <w:tc>
          <w:tcPr>
            <w:tcW w:type="dxa" w:w="374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ships named, quality-rated analysers for HLASM, REXX, CLIST, Easytrieve and PL/I and publishes where each is weak. AWS ingests more file types but publishes far less about analysis depth per type.</w:t>
            </w:r>
          </w:p>
        </w:tc>
      </w:tr>
      <w:tr>
        <w:trPr>
          <w:cantSplit/>
        </w:trPr>
        <w:tc>
          <w:tcPr>
            <w:tcW w:type="dxa" w:w="3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Static call-graph completeness and dynamic CALL resolution</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15%</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3</w:t>
            </w:r>
          </w:p>
        </w:tc>
        <w:tc>
          <w:tcPr>
            <w:tcW w:type="dxa" w:w="90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2</w:t>
            </w:r>
          </w:p>
        </w:tc>
        <w:tc>
          <w:tcPr>
            <w:tcW w:type="dxa" w:w="374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documents a tunable mechanism, two escalation paths, a self-reported completeness percentage and its own hard boundary. AWS publishes no dynamic-call resolution mechanism — capped at 2 for absence of evidence, not demonstrated failure.</w:t>
            </w:r>
          </w:p>
        </w:tc>
      </w:tr>
      <w:tr>
        <w:trPr>
          <w:cantSplit/>
        </w:trPr>
        <w:tc>
          <w:tcPr>
            <w:tcW w:type="dxa" w:w="3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Clone and near-duplicate detection</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8%</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2</w:t>
            </w:r>
          </w:p>
        </w:tc>
        <w:tc>
          <w:tcPr>
            <w:tcW w:type="dxa" w:w="90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3</w:t>
            </w:r>
          </w:p>
        </w:tc>
        <w:tc>
          <w:tcPr>
            <w:tcW w:type="dxa" w:w="374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AWS's Homonyms view gives exact-identity grouping, compare and export. CAST's 90 per cent similarity metric is legacy-documented, knowledge-base-scoped, unstable across portfolio changes and unconfirmed in v3.</w:t>
            </w:r>
          </w:p>
        </w:tc>
      </w:tr>
      <w:tr>
        <w:trPr>
          <w:cantSplit/>
        </w:trPr>
        <w:tc>
          <w:tcPr>
            <w:tcW w:type="dxa" w:w="3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Logic outside the COBOL (sort cards, exits, symbolics, scheduler, PROC overrides)</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12%</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2</w:t>
            </w:r>
          </w:p>
        </w:tc>
        <w:tc>
          <w:tcPr>
            <w:tcW w:type="dxa" w:w="90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3</w:t>
            </w:r>
          </w:p>
        </w:tc>
        <w:tc>
          <w:tcPr>
            <w:tcW w:type="dxa" w:w="374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Neither interprets this logic. AWS at least ingests CA-7 reports and SMF. CAST explicitly cannot process JCL parameters external to the source files.</w:t>
            </w:r>
          </w:p>
        </w:tc>
      </w:tr>
      <w:tr>
        <w:trPr>
          <w:cantSplit/>
        </w:trPr>
        <w:tc>
          <w:tcPr>
            <w:tcW w:type="dxa" w:w="3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Cross-application coupling via shared datasets</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10%</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4</w:t>
            </w:r>
          </w:p>
        </w:tc>
        <w:tc>
          <w:tcPr>
            <w:tcW w:type="dxa" w:w="90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4</w:t>
            </w:r>
          </w:p>
        </w:tc>
        <w:tc>
          <w:tcPr>
            <w:tcW w:type="dxa" w:w="374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 tie. CAST gives richer interactive traversal and path finding; AWS frames shared-datastore coupling as wave-planning output. Neither establishes ownership.</w:t>
            </w:r>
          </w:p>
        </w:tc>
      </w:tr>
      <w:tr>
        <w:trPr>
          <w:cantSplit/>
        </w:trPr>
        <w:tc>
          <w:tcPr>
            <w:tcW w:type="dxa" w:w="3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Dead code and dormant feature identification</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8%</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3</w:t>
            </w:r>
          </w:p>
        </w:tc>
        <w:tc>
          <w:tcPr>
            <w:tcW w:type="dxa" w:w="90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3</w:t>
            </w:r>
          </w:p>
        </w:tc>
        <w:tc>
          <w:tcPr>
            <w:tcW w:type="dxa" w:w="374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has static unreferenced detection, degraded by unresolved dynamic links and dropping orphan copybooks by default. AWS has no dead-code artefact but thirteen months of run-time usage evidence. Genuinely complementary.</w:t>
            </w:r>
          </w:p>
        </w:tc>
      </w:tr>
      <w:tr>
        <w:trPr>
          <w:cantSplit/>
        </w:trPr>
        <w:tc>
          <w:tcPr>
            <w:tcW w:type="dxa" w:w="3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Output format and downstream consumability</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12%</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3</w:t>
            </w:r>
          </w:p>
        </w:tc>
        <w:tc>
          <w:tcPr>
            <w:tcW w:type="dxa" w:w="90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4</w:t>
            </w:r>
          </w:p>
        </w:tc>
        <w:tc>
          <w:tcPr>
            <w:tcW w:type="dxa" w:w="374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output is analyst-consumed intelligence plus MCP grounding; CAST does not claim it drives a transform. AWS produces EARS requirements, acceptance criteria, data flows and a rule-to-source traceability matrix feeding forward engineering directly.</w:t>
            </w:r>
          </w:p>
        </w:tc>
      </w:tr>
      <w:tr>
        <w:trPr>
          <w:cantSplit/>
        </w:trPr>
        <w:tc>
          <w:tcPr>
            <w:tcW w:type="dxa" w:w="3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Deployment, commercial model and data residency</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8%</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4</w:t>
            </w:r>
          </w:p>
        </w:tc>
        <w:tc>
          <w:tcPr>
            <w:tcW w:type="dxa" w:w="90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3</w:t>
            </w:r>
          </w:p>
        </w:tc>
        <w:tc>
          <w:tcPr>
            <w:tcW w:type="dxa" w:w="374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runs inside the perimeter with public per-application pricing and an air-gapped path. AWS is free for the mainframe agent but requires S3 upload, Bedrock cross-region inference and an explicit AWS Organizations opt-out.</w:t>
            </w:r>
          </w:p>
        </w:tc>
      </w:tr>
      <w:tr>
        <w:trPr>
          <w:cantSplit/>
        </w:trPr>
        <w:tc>
          <w:tcPr>
            <w:tcW w:type="dxa" w:w="3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GenAI governance exposure (higher score = lower exposure)</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10%</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5</w:t>
            </w:r>
          </w:p>
        </w:tc>
        <w:tc>
          <w:tcPr>
            <w:tcW w:type="dxa" w:w="90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2</w:t>
            </w:r>
          </w:p>
        </w:tc>
        <w:tc>
          <w:tcPr>
            <w:tcW w:type="dxa" w:w="374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CAST's core is deterministic and its AI features are gated and provider-choosable including local. AWS Transform is agentic by design with no non-AI mode and triggers the full four-stage review with a two-to-four-month lead time.</w:t>
            </w:r>
          </w:p>
        </w:tc>
      </w:tr>
      <w:tr>
        <w:trPr>
          <w:cantSplit/>
        </w:trPr>
        <w:tc>
          <w:tcPr>
            <w:tcW w:type="dxa" w:w="3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Effort to first useful output and analyst skill</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5%</w:t>
            </w:r>
          </w:p>
        </w:tc>
        <w:tc>
          <w:tcPr>
            <w:tcW w:type="dxa" w:w="76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2</w:t>
            </w:r>
          </w:p>
        </w:tc>
        <w:tc>
          <w:tcPr>
            <w:tcW w:type="dxa" w:w="900"/>
            <w:tcMar>
              <w:top w:type="dxa" w:w="40"/>
              <w:left w:type="dxa" w:w="80"/>
              <w:bottom w:type="dxa" w:w="40"/>
              <w:right w:type="dxa" w:w="80"/>
            </w:tcMar>
            <w:vAlign w:val="center"/>
          </w:tcPr>
          <w:p>
            <w:pPr>
              <w:spacing w:after="16" w:before="16" w:line="210"/>
              <w:jc w:val="center"/>
            </w:pPr>
            <w:r>
              <w:rPr>
                <w:rFonts w:ascii="Calibri" w:cs="Calibri" w:eastAsia="Calibri" w:hAnsi="Calibri"/>
                <w:b w:val="false"/>
                <w:bCs w:val="false"/>
                <w:i w:val="false"/>
                <w:iCs w:val="false"/>
                <w:color w:val="000000"/>
                <w:sz w:val="16"/>
                <w:szCs w:val="16"/>
              </w:rPr>
              <w:t xml:space="preserve">4</w:t>
            </w:r>
          </w:p>
        </w:tc>
        <w:tc>
          <w:tcPr>
            <w:tcW w:type="dxa" w:w="374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requires specialist onboarding, mandatory dynamic-link validation and a Super Operator role. AWS is chat-driven with human checkpoints; its effort is front-loaded into artefact extraction.</w:t>
            </w:r>
          </w:p>
        </w:tc>
      </w:tr>
      <w:tr>
        <w:trPr>
          <w:cantSplit/>
        </w:trPr>
        <w:tc>
          <w:tcPr>
            <w:tcW w:type="dxa" w:w="3200"/>
            <w:shd w:fill="DCE6F1" w:color="auto" w:val="clear"/>
            <w:tcMar>
              <w:top w:type="dxa" w:w="40"/>
              <w:left w:type="dxa" w:w="80"/>
              <w:bottom w:type="dxa" w:w="40"/>
              <w:right w:type="dxa" w:w="80"/>
            </w:tcMar>
            <w:vAlign w:val="center"/>
          </w:tcPr>
          <w:p>
            <w:pPr>
              <w:spacing w:after="16" w:before="16" w:line="210"/>
              <w:jc w:val="left"/>
            </w:pPr>
            <w:r>
              <w:rPr>
                <w:rFonts w:ascii="Calibri" w:cs="Calibri" w:eastAsia="Calibri" w:hAnsi="Calibri"/>
                <w:b/>
                <w:bCs/>
                <w:i w:val="false"/>
                <w:iCs w:val="false"/>
                <w:color w:val="000000"/>
                <w:sz w:val="16"/>
                <w:szCs w:val="16"/>
              </w:rPr>
              <w:t xml:space="preserve">Weighted total (out of 5.00)</w:t>
            </w:r>
          </w:p>
        </w:tc>
        <w:tc>
          <w:tcPr>
            <w:tcW w:type="dxa" w:w="760"/>
            <w:shd w:fill="DCE6F1"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000000"/>
                <w:sz w:val="16"/>
                <w:szCs w:val="16"/>
              </w:rPr>
              <w:t xml:space="preserve">100%</w:t>
            </w:r>
          </w:p>
        </w:tc>
        <w:tc>
          <w:tcPr>
            <w:tcW w:type="dxa" w:w="760"/>
            <w:shd w:fill="DCE6F1"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000000"/>
                <w:sz w:val="16"/>
                <w:szCs w:val="16"/>
              </w:rPr>
              <w:t xml:space="preserve">3.25</w:t>
            </w:r>
          </w:p>
        </w:tc>
        <w:tc>
          <w:tcPr>
            <w:tcW w:type="dxa" w:w="900"/>
            <w:shd w:fill="DCE6F1"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000000"/>
                <w:sz w:val="16"/>
                <w:szCs w:val="16"/>
              </w:rPr>
              <w:t xml:space="preserve">3.02</w:t>
            </w:r>
          </w:p>
        </w:tc>
        <w:tc>
          <w:tcPr>
            <w:tcW w:type="dxa" w:w="3740"/>
            <w:shd w:fill="DCE6F1" w:color="auto" w:val="clear"/>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 0.23 gap on a five-point scale is not decisive. It is the pattern you would expect from two tools strong in different places, and it is the quantitative basis for using both.</w:t>
            </w:r>
          </w:p>
        </w:tc>
      </w:tr>
    </w:tbl>
    <w:p>
      <w:pPr>
        <w:spacing w:after="150" w:before="60"/>
      </w:pPr>
      <w:r>
        <w:rPr>
          <w:rFonts w:ascii="Calibri" w:cs="Calibri" w:eastAsia="Calibri" w:hAnsi="Calibri"/>
          <w:i/>
          <w:iCs/>
          <w:color w:val="595959"/>
          <w:sz w:val="15"/>
          <w:szCs w:val="15"/>
        </w:rPr>
        <w:t xml:space="preserve">Table 4. Weighted scored comparison. Weights are specific to this programme and should be re-set if the constraints change.</w:t>
      </w:r>
    </w:p>
    <w:p>
      <w:pPr>
        <w:pStyle w:val="Heading2"/>
        <w:spacing w:after="80" w:before="190"/>
      </w:pPr>
      <w:r>
        <w:rPr>
          <w:rFonts w:ascii="Calibri" w:cs="Calibri" w:eastAsia="Calibri" w:hAnsi="Calibri"/>
          <w:b/>
          <w:bCs/>
          <w:color w:val="1F3864"/>
          <w:sz w:val="22"/>
          <w:szCs w:val="22"/>
        </w:rPr>
        <w:t xml:space="preserve">5.1 Where CAST Imaging is stronger</w:t>
      </w:r>
    </w:p>
    <w:p>
      <w:pPr>
        <w:pStyle w:val="ListParagraph"/>
        <w:numPr>
          <w:ilvl w:val="0"/>
          <w:numId w:val="3"/>
        </w:numPr>
        <w:spacing w:after="60" w:line="240"/>
      </w:pPr>
      <w:r>
        <w:rPr>
          <w:rFonts w:ascii="Calibri" w:cs="Calibri" w:eastAsia="Calibri" w:hAnsi="Calibri"/>
          <w:sz w:val="20"/>
          <w:szCs w:val="20"/>
        </w:rPr>
        <w:t xml:space="preserve">Dynamic-call handling that is controllable, measurable and honestly bounded, with a self-reported completeness percentage usable as a programme quality gate.</w:t>
      </w:r>
    </w:p>
    <w:p>
      <w:pPr>
        <w:pStyle w:val="ListParagraph"/>
        <w:numPr>
          <w:ilvl w:val="0"/>
          <w:numId w:val="3"/>
        </w:numPr>
        <w:spacing w:after="60" w:line="240"/>
      </w:pPr>
      <w:r>
        <w:rPr>
          <w:rFonts w:ascii="Calibri" w:cs="Calibri" w:eastAsia="Calibri" w:hAnsi="Calibri"/>
          <w:sz w:val="20"/>
          <w:szCs w:val="20"/>
        </w:rPr>
        <w:t xml:space="preserve">Depth and honesty of published coverage for the awkward languages, with explicit ratings and named limitations per technology.</w:t>
      </w:r>
    </w:p>
    <w:p>
      <w:pPr>
        <w:pStyle w:val="ListParagraph"/>
        <w:numPr>
          <w:ilvl w:val="0"/>
          <w:numId w:val="3"/>
        </w:numPr>
        <w:spacing w:after="60" w:line="240"/>
      </w:pPr>
      <w:r>
        <w:rPr>
          <w:rFonts w:ascii="Calibri" w:cs="Calibri" w:eastAsia="Calibri" w:hAnsi="Calibri"/>
          <w:sz w:val="20"/>
          <w:szCs w:val="20"/>
        </w:rPr>
        <w:t xml:space="preserve">Interactive estate-wide graph navigation — path finding, callers and callees to any depth, indirect dependency highlighting, version-over-version comparison.</w:t>
      </w:r>
    </w:p>
    <w:p>
      <w:pPr>
        <w:pStyle w:val="ListParagraph"/>
        <w:numPr>
          <w:ilvl w:val="0"/>
          <w:numId w:val="3"/>
        </w:numPr>
        <w:spacing w:after="60" w:line="240"/>
      </w:pPr>
      <w:r>
        <w:rPr>
          <w:rFonts w:ascii="Calibri" w:cs="Calibri" w:eastAsia="Calibri" w:hAnsi="Calibri"/>
          <w:sz w:val="20"/>
          <w:szCs w:val="20"/>
        </w:rPr>
        <w:t xml:space="preserve">Zero GenAI governance dependency in the analytical core, which converts directly into two to four months of schedule.</w:t>
      </w:r>
    </w:p>
    <w:p>
      <w:pPr>
        <w:pStyle w:val="ListParagraph"/>
        <w:numPr>
          <w:ilvl w:val="0"/>
          <w:numId w:val="3"/>
        </w:numPr>
        <w:spacing w:after="60" w:line="240"/>
      </w:pPr>
      <w:r>
        <w:rPr>
          <w:rFonts w:ascii="Calibri" w:cs="Calibri" w:eastAsia="Calibri" w:hAnsi="Calibri"/>
          <w:sz w:val="20"/>
          <w:szCs w:val="20"/>
        </w:rPr>
        <w:t xml:space="preserve">Data residency: source stays inside the perimeter, with a documented air-gapped path.</w:t>
      </w:r>
    </w:p>
    <w:p>
      <w:pPr>
        <w:pStyle w:val="ListParagraph"/>
        <w:numPr>
          <w:ilvl w:val="0"/>
          <w:numId w:val="3"/>
        </w:numPr>
        <w:spacing w:after="60" w:line="240"/>
      </w:pPr>
      <w:r>
        <w:rPr>
          <w:rFonts w:ascii="Calibri" w:cs="Calibri" w:eastAsia="Calibri" w:hAnsi="Calibri"/>
          <w:sz w:val="20"/>
          <w:szCs w:val="20"/>
        </w:rPr>
        <w:t xml:space="preserve">Independence — CAST is not the target-platform vendor, which matters when the output justifies architecture decisions to a board.</w:t>
      </w:r>
    </w:p>
    <w:p>
      <w:pPr>
        <w:pStyle w:val="Heading2"/>
        <w:spacing w:after="80" w:before="190"/>
      </w:pPr>
      <w:r>
        <w:rPr>
          <w:rFonts w:ascii="Calibri" w:cs="Calibri" w:eastAsia="Calibri" w:hAnsi="Calibri"/>
          <w:b/>
          <w:bCs/>
          <w:color w:val="1F3864"/>
          <w:sz w:val="22"/>
          <w:szCs w:val="22"/>
        </w:rPr>
        <w:t xml:space="preserve">5.2 Where AWS Transform is stronger</w:t>
      </w:r>
    </w:p>
    <w:p>
      <w:pPr>
        <w:pStyle w:val="ListParagraph"/>
        <w:numPr>
          <w:ilvl w:val="0"/>
          <w:numId w:val="3"/>
        </w:numPr>
        <w:spacing w:after="60" w:line="240"/>
      </w:pPr>
      <w:r>
        <w:rPr>
          <w:rFonts w:ascii="Calibri" w:cs="Calibri" w:eastAsia="Calibri" w:hAnsi="Calibri"/>
          <w:sz w:val="20"/>
          <w:szCs w:val="20"/>
        </w:rPr>
        <w:t xml:space="preserve">Business-rule extraction with source-line traceability and a completeness metric, producing requirements rather than diagrams — the capability a "no transliteration" mandate actually requires.</w:t>
      </w:r>
    </w:p>
    <w:p>
      <w:pPr>
        <w:pStyle w:val="ListParagraph"/>
        <w:numPr>
          <w:ilvl w:val="0"/>
          <w:numId w:val="3"/>
        </w:numPr>
        <w:spacing w:after="60" w:line="240"/>
      </w:pPr>
      <w:r>
        <w:rPr>
          <w:rFonts w:ascii="Calibri" w:cs="Calibri" w:eastAsia="Calibri" w:hAnsi="Calibri"/>
          <w:sz w:val="20"/>
          <w:szCs w:val="20"/>
        </w:rPr>
        <w:t xml:space="preserve">Domain decomposition into business functions with human approval checkpoints and importable domain definitions, feeding wave planning directly.</w:t>
      </w:r>
    </w:p>
    <w:p>
      <w:pPr>
        <w:pStyle w:val="ListParagraph"/>
        <w:numPr>
          <w:ilvl w:val="0"/>
          <w:numId w:val="3"/>
        </w:numPr>
        <w:spacing w:after="60" w:line="240"/>
      </w:pPr>
      <w:r>
        <w:rPr>
          <w:rFonts w:ascii="Calibri" w:cs="Calibri" w:eastAsia="Calibri" w:hAnsi="Calibri"/>
          <w:sz w:val="20"/>
          <w:szCs w:val="20"/>
        </w:rPr>
        <w:t xml:space="preserve">Run-time evidence via SMF — no static tool can replicate it, and it is the strongest available basis for dormant-feature decommissioning.</w:t>
      </w:r>
    </w:p>
    <w:p>
      <w:pPr>
        <w:pStyle w:val="ListParagraph"/>
        <w:numPr>
          <w:ilvl w:val="0"/>
          <w:numId w:val="3"/>
        </w:numPr>
        <w:spacing w:after="60" w:line="240"/>
      </w:pPr>
      <w:r>
        <w:rPr>
          <w:rFonts w:ascii="Calibri" w:cs="Calibri" w:eastAsia="Calibri" w:hAnsi="Calibri"/>
          <w:sz w:val="20"/>
          <w:szCs w:val="20"/>
        </w:rPr>
        <w:t xml:space="preserve">Scheduler artefact ingest (CA-7 LJOB, Control-M, TWS) — partial, but more than CAST offers for z/OS scheduling.</w:t>
      </w:r>
    </w:p>
    <w:p>
      <w:pPr>
        <w:pStyle w:val="ListParagraph"/>
        <w:numPr>
          <w:ilvl w:val="0"/>
          <w:numId w:val="3"/>
        </w:numPr>
        <w:spacing w:after="60" w:line="240"/>
      </w:pPr>
      <w:r>
        <w:rPr>
          <w:rFonts w:ascii="Calibri" w:cs="Calibri" w:eastAsia="Calibri" w:hAnsi="Calibri"/>
          <w:sz w:val="20"/>
          <w:szCs w:val="20"/>
        </w:rPr>
        <w:t xml:space="preserve">Automated test planning from code, business logic and the scheduler plan, with generated JCL data-collection scripts for proving functional equivalence.</w:t>
      </w:r>
    </w:p>
    <w:p>
      <w:pPr>
        <w:pStyle w:val="ListParagraph"/>
        <w:numPr>
          <w:ilvl w:val="0"/>
          <w:numId w:val="3"/>
        </w:numPr>
        <w:spacing w:after="60" w:line="240"/>
      </w:pPr>
      <w:r>
        <w:rPr>
          <w:rFonts w:ascii="Calibri" w:cs="Calibri" w:eastAsia="Calibri" w:hAnsi="Calibri"/>
          <w:sz w:val="20"/>
          <w:szCs w:val="20"/>
        </w:rPr>
        <w:t xml:space="preserve">Commercial model — the mainframe agent is currently free, against a per-application subscription for CAST across 142 applications.</w:t>
      </w:r>
    </w:p>
    <w:p>
      <w:pPr>
        <w:pStyle w:val="ListParagraph"/>
        <w:numPr>
          <w:ilvl w:val="0"/>
          <w:numId w:val="3"/>
        </w:numPr>
        <w:spacing w:after="60" w:line="240"/>
      </w:pPr>
      <w:r>
        <w:rPr>
          <w:rFonts w:ascii="Calibri" w:cs="Calibri" w:eastAsia="Calibri" w:hAnsi="Calibri"/>
          <w:sz w:val="20"/>
          <w:szCs w:val="20"/>
        </w:rPr>
        <w:t xml:space="preserve">Exact-duplicate identification across named program families, with diff and export.</w:t>
      </w:r>
    </w:p>
    <w:p>
      <w:pPr>
        <w:pStyle w:val="Heading1"/>
        <w:spacing w:after="110" w:before="260"/>
      </w:pPr>
      <w:r>
        <w:rPr>
          <w:rFonts w:ascii="Calibri" w:cs="Calibri" w:eastAsia="Calibri" w:hAnsi="Calibri"/>
          <w:b/>
          <w:bCs/>
          <w:color w:val="1F3864"/>
          <w:sz w:val="27"/>
          <w:szCs w:val="27"/>
        </w:rPr>
        <w:t xml:space="preserve">6. Gaps that neither tool closes</w:t>
      </w:r>
    </w:p>
    <w:p>
      <w:pPr>
        <w:spacing w:after="90" w:line="240"/>
        <w:jc w:val="left"/>
      </w:pPr>
      <w:r>
        <w:rPr>
          <w:rFonts w:ascii="Calibri" w:cs="Calibri" w:eastAsia="Calibri" w:hAnsi="Calibri"/>
          <w:b w:val="false"/>
          <w:bCs w:val="false"/>
          <w:i w:val="false"/>
          <w:iCs w:val="false"/>
          <w:color w:val="000000"/>
          <w:sz w:val="20"/>
          <w:szCs w:val="20"/>
        </w:rPr>
        <w:t xml:space="preserve">The following must be covered by human SME work or bespoke tooling, and should be costed explicitly. Every one is a place where a modernisation programme discovers a functional defect in user acceptance testing rather than in analysis.</w:t>
      </w:r>
    </w:p>
    <w:p>
      <w:pPr>
        <w:pStyle w:val="ListParagraph"/>
        <w:numPr>
          <w:ilvl w:val="0"/>
          <w:numId w:val="4"/>
        </w:numPr>
        <w:spacing w:after="60" w:line="240"/>
      </w:pPr>
      <w:r>
        <w:rPr>
          <w:rFonts w:ascii="Calibri" w:cs="Calibri" w:eastAsia="Calibri" w:hAnsi="Calibri"/>
          <w:b/>
          <w:bCs/>
          <w:i w:val="false"/>
          <w:iCs w:val="false"/>
          <w:sz w:val="20"/>
          <w:szCs w:val="20"/>
        </w:rPr>
        <w:t xml:space="preserve">Sort exit routine behaviour (E15, E35 and equivalents). </w:t>
      </w:r>
      <w:r>
        <w:rPr>
          <w:rFonts w:ascii="Calibri" w:cs="Calibri" w:eastAsia="Calibri" w:hAnsi="Calibri"/>
          <w:b w:val="false"/>
          <w:bCs w:val="false"/>
          <w:i w:val="false"/>
          <w:iCs w:val="false"/>
          <w:sz w:val="20"/>
          <w:szCs w:val="20"/>
        </w:rPr>
        <w:t xml:space="preserve">Neither platform documents parsing of sort exit linkage or the record-level logic those exits apply. In HLASM, an exit falls into the thinnest analyser CAST ships and a language AWS ingests but does not transform. Assume fully human.</w:t>
      </w:r>
    </w:p>
    <w:p>
      <w:pPr>
        <w:pStyle w:val="ListParagraph"/>
        <w:numPr>
          <w:ilvl w:val="0"/>
          <w:numId w:val="4"/>
        </w:numPr>
        <w:spacing w:after="60" w:line="240"/>
      </w:pPr>
      <w:r>
        <w:rPr>
          <w:rFonts w:ascii="Calibri" w:cs="Calibri" w:eastAsia="Calibri" w:hAnsi="Calibri"/>
          <w:b/>
          <w:bCs/>
          <w:i w:val="false"/>
          <w:iCs w:val="false"/>
          <w:sz w:val="20"/>
          <w:szCs w:val="20"/>
        </w:rPr>
        <w:t xml:space="preserve">Sort and utility control-card field semantics. </w:t>
      </w:r>
      <w:r>
        <w:rPr>
          <w:rFonts w:ascii="Calibri" w:cs="Calibri" w:eastAsia="Calibri" w:hAnsi="Calibri"/>
          <w:b w:val="false"/>
          <w:bCs w:val="false"/>
          <w:i w:val="false"/>
          <w:iCs w:val="false"/>
          <w:sz w:val="20"/>
          <w:szCs w:val="20"/>
        </w:rPr>
        <w:t xml:space="preserve">INCLUDE, OMIT, INREC, OUTREC and OUTFIL statements routinely encode filtering and reformatting rules indistinguishable from business logic. Both tools treat the card as an artefact and a dependency edge; neither documents extracting the field-level rule.</w:t>
      </w:r>
    </w:p>
    <w:p>
      <w:pPr>
        <w:pStyle w:val="ListParagraph"/>
        <w:numPr>
          <w:ilvl w:val="0"/>
          <w:numId w:val="4"/>
        </w:numPr>
        <w:spacing w:after="60" w:line="240"/>
      </w:pPr>
      <w:r>
        <w:rPr>
          <w:rFonts w:ascii="Calibri" w:cs="Calibri" w:eastAsia="Calibri" w:hAnsi="Calibri"/>
          <w:b/>
          <w:bCs/>
          <w:i w:val="false"/>
          <w:iCs w:val="false"/>
          <w:sz w:val="20"/>
          <w:szCs w:val="20"/>
        </w:rPr>
        <w:t xml:space="preserve">JCL symbolic parameters resolved at submission time. </w:t>
      </w:r>
      <w:r>
        <w:rPr>
          <w:rFonts w:ascii="Calibri" w:cs="Calibri" w:eastAsia="Calibri" w:hAnsi="Calibri"/>
          <w:b w:val="false"/>
          <w:bCs w:val="false"/>
          <w:i w:val="false"/>
          <w:iCs w:val="false"/>
          <w:sz w:val="20"/>
          <w:szCs w:val="20"/>
        </w:rPr>
        <w:t xml:space="preserve">CAST states outright that it cannot process parameters external to the JCL source files; AWS documents no resolution of submit-time substitution into an effective per-run JCL. A symbolic value supplied by an operator or scheduler is invisible to both.</w:t>
      </w:r>
    </w:p>
    <w:p>
      <w:pPr>
        <w:pStyle w:val="ListParagraph"/>
        <w:numPr>
          <w:ilvl w:val="0"/>
          <w:numId w:val="4"/>
        </w:numPr>
        <w:spacing w:after="60" w:line="240"/>
      </w:pPr>
      <w:r>
        <w:rPr>
          <w:rFonts w:ascii="Calibri" w:cs="Calibri" w:eastAsia="Calibri" w:hAnsi="Calibri"/>
          <w:b/>
          <w:bCs/>
          <w:i w:val="false"/>
          <w:iCs w:val="false"/>
          <w:sz w:val="20"/>
          <w:szCs w:val="20"/>
        </w:rPr>
        <w:t xml:space="preserve">Scheduler-held values, calendars and condition logic as business rules. </w:t>
      </w:r>
      <w:r>
        <w:rPr>
          <w:rFonts w:ascii="Calibri" w:cs="Calibri" w:eastAsia="Calibri" w:hAnsi="Calibri"/>
          <w:b w:val="false"/>
          <w:bCs w:val="false"/>
          <w:i w:val="false"/>
          <w:iCs w:val="false"/>
          <w:sz w:val="20"/>
          <w:szCs w:val="20"/>
        </w:rPr>
        <w:t xml:space="preserve">AWS explicitly states scheduler assets are not modernised. Both may consume scheduler data as sequencing or gap-finding metadata; neither treats a scheduler condition as logic to be preserved in the target.</w:t>
      </w:r>
    </w:p>
    <w:p>
      <w:pPr>
        <w:pStyle w:val="ListParagraph"/>
        <w:numPr>
          <w:ilvl w:val="0"/>
          <w:numId w:val="4"/>
        </w:numPr>
        <w:spacing w:after="60" w:line="240"/>
      </w:pPr>
      <w:r>
        <w:rPr>
          <w:rFonts w:ascii="Calibri" w:cs="Calibri" w:eastAsia="Calibri" w:hAnsi="Calibri"/>
          <w:b/>
          <w:bCs/>
          <w:i w:val="false"/>
          <w:iCs w:val="false"/>
          <w:sz w:val="20"/>
          <w:szCs w:val="20"/>
        </w:rPr>
        <w:t xml:space="preserve">PROC override resolution. </w:t>
      </w:r>
      <w:r>
        <w:rPr>
          <w:rFonts w:ascii="Calibri" w:cs="Calibri" w:eastAsia="Calibri" w:hAnsi="Calibri"/>
          <w:b w:val="false"/>
          <w:bCs w:val="false"/>
          <w:i w:val="false"/>
          <w:iCs w:val="false"/>
          <w:sz w:val="20"/>
          <w:szCs w:val="20"/>
        </w:rPr>
        <w:t xml:space="preserve">The effective parameter set after EXEC-statement overrides are applied is not a documented output of either tool.</w:t>
      </w:r>
    </w:p>
    <w:p>
      <w:pPr>
        <w:pStyle w:val="ListParagraph"/>
        <w:numPr>
          <w:ilvl w:val="0"/>
          <w:numId w:val="4"/>
        </w:numPr>
        <w:spacing w:after="60" w:line="240"/>
      </w:pPr>
      <w:r>
        <w:rPr>
          <w:rFonts w:ascii="Calibri" w:cs="Calibri" w:eastAsia="Calibri" w:hAnsi="Calibri"/>
          <w:b/>
          <w:bCs/>
          <w:i w:val="false"/>
          <w:iCs w:val="false"/>
          <w:sz w:val="20"/>
          <w:szCs w:val="20"/>
        </w:rPr>
        <w:t xml:space="preserve">Dynamic CALL targets held in a control file or database table. </w:t>
      </w:r>
      <w:r>
        <w:rPr>
          <w:rFonts w:ascii="Calibri" w:cs="Calibri" w:eastAsia="Calibri" w:hAnsi="Calibri"/>
          <w:b w:val="false"/>
          <w:bCs w:val="false"/>
          <w:i w:val="false"/>
          <w:iCs w:val="false"/>
          <w:sz w:val="20"/>
          <w:szCs w:val="20"/>
        </w:rPr>
        <w:t xml:space="preserve">CAST states this is outside static reach; AWS documents no mechanism. Unresolved edges will remain in both graphs. The bespoke answer is to extract the routing table contents and join them to the call sites.</w:t>
      </w:r>
    </w:p>
    <w:p>
      <w:pPr>
        <w:pStyle w:val="ListParagraph"/>
        <w:numPr>
          <w:ilvl w:val="0"/>
          <w:numId w:val="4"/>
        </w:numPr>
        <w:spacing w:after="60" w:line="240"/>
      </w:pPr>
      <w:r>
        <w:rPr>
          <w:rFonts w:ascii="Calibri" w:cs="Calibri" w:eastAsia="Calibri" w:hAnsi="Calibri"/>
          <w:b/>
          <w:bCs/>
          <w:i w:val="false"/>
          <w:iCs w:val="false"/>
          <w:sz w:val="20"/>
          <w:szCs w:val="20"/>
        </w:rPr>
        <w:t xml:space="preserve">Determining the authoritative variant among near-identical program clones. </w:t>
      </w:r>
      <w:r>
        <w:rPr>
          <w:rFonts w:ascii="Calibri" w:cs="Calibri" w:eastAsia="Calibri" w:hAnsi="Calibri"/>
          <w:b w:val="false"/>
          <w:bCs w:val="false"/>
          <w:i w:val="false"/>
          <w:iCs w:val="false"/>
          <w:sz w:val="20"/>
          <w:szCs w:val="20"/>
        </w:rPr>
        <w:t xml:space="preserve">Exact-match grouping and diff exist; ranking, lineage inference and "which one is actually running where" do not. Requires load-library evidence, change history and SME judgement.</w:t>
      </w:r>
    </w:p>
    <w:p>
      <w:pPr>
        <w:pStyle w:val="ListParagraph"/>
        <w:numPr>
          <w:ilvl w:val="0"/>
          <w:numId w:val="4"/>
        </w:numPr>
        <w:spacing w:after="60" w:line="240"/>
      </w:pPr>
      <w:r>
        <w:rPr>
          <w:rFonts w:ascii="Calibri" w:cs="Calibri" w:eastAsia="Calibri" w:hAnsi="Calibri"/>
          <w:b/>
          <w:bCs/>
          <w:i w:val="false"/>
          <w:iCs w:val="false"/>
          <w:sz w:val="20"/>
          <w:szCs w:val="20"/>
        </w:rPr>
        <w:t xml:space="preserve">Dataset ownership and inter-application data contracts. </w:t>
      </w:r>
      <w:r>
        <w:rPr>
          <w:rFonts w:ascii="Calibri" w:cs="Calibri" w:eastAsia="Calibri" w:hAnsi="Calibri"/>
          <w:b w:val="false"/>
          <w:bCs w:val="false"/>
          <w:i w:val="false"/>
          <w:iCs w:val="false"/>
          <w:sz w:val="20"/>
          <w:szCs w:val="20"/>
        </w:rPr>
        <w:t xml:space="preserve">Both show who reads and writes a dataset; neither establishes who owns the record layout, what the agreed contract is, or which consumer breaks when it changes. For undeclared-owner shared datasets this is a formal data-contract exercise.</w:t>
      </w:r>
    </w:p>
    <w:p>
      <w:pPr>
        <w:pStyle w:val="ListParagraph"/>
        <w:numPr>
          <w:ilvl w:val="0"/>
          <w:numId w:val="4"/>
        </w:numPr>
        <w:spacing w:after="60" w:line="240"/>
      </w:pPr>
      <w:r>
        <w:rPr>
          <w:rFonts w:ascii="Calibri" w:cs="Calibri" w:eastAsia="Calibri" w:hAnsi="Calibri"/>
          <w:b/>
          <w:bCs/>
          <w:i w:val="false"/>
          <w:iCs w:val="false"/>
          <w:sz w:val="20"/>
          <w:szCs w:val="20"/>
        </w:rPr>
        <w:t xml:space="preserve">HLASM behavioural semantics. </w:t>
      </w:r>
      <w:r>
        <w:rPr>
          <w:rFonts w:ascii="Calibri" w:cs="Calibri" w:eastAsia="Calibri" w:hAnsi="Calibri"/>
          <w:b w:val="false"/>
          <w:bCs w:val="false"/>
          <w:i w:val="false"/>
          <w:iCs w:val="false"/>
          <w:sz w:val="20"/>
          <w:szCs w:val="20"/>
        </w:rPr>
        <w:t xml:space="preserve">CAST's Assembler analyser has no entry-point concept and no structural rule coverage; AWS ingests but does not transform Assembler. Business logic in Assembler modules is entirely human work.</w:t>
      </w:r>
    </w:p>
    <w:p>
      <w:pPr>
        <w:pStyle w:val="ListParagraph"/>
        <w:numPr>
          <w:ilvl w:val="0"/>
          <w:numId w:val="4"/>
        </w:numPr>
        <w:spacing w:after="60" w:line="240"/>
      </w:pPr>
      <w:r>
        <w:rPr>
          <w:rFonts w:ascii="Calibri" w:cs="Calibri" w:eastAsia="Calibri" w:hAnsi="Calibri"/>
          <w:b/>
          <w:bCs/>
          <w:i w:val="false"/>
          <w:iCs w:val="false"/>
          <w:sz w:val="20"/>
          <w:szCs w:val="20"/>
        </w:rPr>
        <w:t xml:space="preserve">Data-content-dependent behaviour. </w:t>
      </w:r>
      <w:r>
        <w:rPr>
          <w:rFonts w:ascii="Calibri" w:cs="Calibri" w:eastAsia="Calibri" w:hAnsi="Calibri"/>
          <w:b w:val="false"/>
          <w:bCs w:val="false"/>
          <w:i w:val="false"/>
          <w:iCs w:val="false"/>
          <w:sz w:val="20"/>
          <w:szCs w:val="20"/>
        </w:rPr>
        <w:t xml:space="preserve">Code paths dead for most of the estate but live for one product, state or interconnect partner look identical to reachable-but-unused code. Resolving this needs production data profiling, outside both tools.</w:t>
      </w:r>
    </w:p>
    <w:p>
      <w:pPr>
        <w:pStyle w:val="ListParagraph"/>
        <w:numPr>
          <w:ilvl w:val="0"/>
          <w:numId w:val="4"/>
        </w:numPr>
        <w:spacing w:after="60" w:line="240"/>
      </w:pPr>
      <w:r>
        <w:rPr>
          <w:rFonts w:ascii="Calibri" w:cs="Calibri" w:eastAsia="Calibri" w:hAnsi="Calibri"/>
          <w:b/>
          <w:bCs/>
          <w:i w:val="false"/>
          <w:iCs w:val="false"/>
          <w:sz w:val="20"/>
          <w:szCs w:val="20"/>
        </w:rPr>
        <w:t xml:space="preserve">Undocumented operational practice. </w:t>
      </w:r>
      <w:r>
        <w:rPr>
          <w:rFonts w:ascii="Calibri" w:cs="Calibri" w:eastAsia="Calibri" w:hAnsi="Calibri"/>
          <w:b w:val="false"/>
          <w:bCs w:val="false"/>
          <w:i w:val="false"/>
          <w:iCs w:val="false"/>
          <w:sz w:val="20"/>
          <w:szCs w:val="20"/>
        </w:rPr>
        <w:t xml:space="preserve">Manual reruns, operator-applied parameter overrides, out-of-band data corrections and standing workarounds are in no repository and therefore in no analysis. SMF shows a job ran twice; it does not say why.</w:t>
      </w:r>
    </w:p>
    <w:p>
      <w:pPr>
        <w:pStyle w:val="ListParagraph"/>
        <w:numPr>
          <w:ilvl w:val="0"/>
          <w:numId w:val="4"/>
        </w:numPr>
        <w:spacing w:after="60" w:line="240"/>
      </w:pPr>
      <w:r>
        <w:rPr>
          <w:rFonts w:ascii="Calibri" w:cs="Calibri" w:eastAsia="Calibri" w:hAnsi="Calibri"/>
          <w:b/>
          <w:bCs/>
          <w:i w:val="false"/>
          <w:iCs w:val="false"/>
          <w:sz w:val="20"/>
          <w:szCs w:val="20"/>
        </w:rPr>
        <w:t xml:space="preserve">Third-party and load-only modules with no source. </w:t>
      </w:r>
      <w:r>
        <w:rPr>
          <w:rFonts w:ascii="Calibri" w:cs="Calibri" w:eastAsia="Calibri" w:hAnsi="Calibri"/>
          <w:b w:val="false"/>
          <w:bCs w:val="false"/>
          <w:i w:val="false"/>
          <w:iCs w:val="false"/>
          <w:sz w:val="20"/>
          <w:szCs w:val="20"/>
        </w:rPr>
        <w:t xml:space="preserve">Both tools are source-dependent. Any ISV package or licensed module supplied only as an object deck is a hole in both graphs and must be inventoried separately.</w:t>
      </w:r>
    </w:p>
    <w:p>
      <w:pPr>
        <w:pStyle w:val="ListParagraph"/>
        <w:numPr>
          <w:ilvl w:val="0"/>
          <w:numId w:val="4"/>
        </w:numPr>
        <w:spacing w:after="60" w:line="240"/>
      </w:pPr>
      <w:r>
        <w:rPr>
          <w:rFonts w:ascii="Calibri" w:cs="Calibri" w:eastAsia="Calibri" w:hAnsi="Calibri"/>
          <w:b/>
          <w:bCs/>
          <w:i w:val="false"/>
          <w:iCs w:val="false"/>
          <w:sz w:val="20"/>
          <w:szCs w:val="20"/>
        </w:rPr>
        <w:t xml:space="preserve">Non-functional contracts. </w:t>
      </w:r>
      <w:r>
        <w:rPr>
          <w:rFonts w:ascii="Calibri" w:cs="Calibri" w:eastAsia="Calibri" w:hAnsi="Calibri"/>
          <w:b w:val="false"/>
          <w:bCs w:val="false"/>
          <w:i w:val="false"/>
          <w:iCs w:val="false"/>
          <w:sz w:val="20"/>
          <w:szCs w:val="20"/>
        </w:rPr>
        <w:t xml:space="preserve">Batch window commitments, cut-off times, SLA-driven sequencing and settlement deadlines appear nowhere in the source and are extracted by neither platform.</w:t>
      </w:r>
    </w:p>
    <w:p>
      <w:pPr>
        <w:pStyle w:val="Heading2"/>
        <w:spacing w:after="80" w:before="190"/>
      </w:pPr>
      <w:r>
        <w:rPr>
          <w:rFonts w:ascii="Calibri" w:cs="Calibri" w:eastAsia="Calibri" w:hAnsi="Calibri"/>
          <w:b/>
          <w:bCs/>
          <w:color w:val="1F3864"/>
          <w:sz w:val="22"/>
          <w:szCs w:val="22"/>
        </w:rPr>
        <w:t xml:space="preserve">6.1 What this implies for the programme plan</w:t>
      </w:r>
    </w:p>
    <w:p>
      <w:pPr>
        <w:spacing w:after="90" w:line="240"/>
        <w:jc w:val="left"/>
      </w:pPr>
      <w:r>
        <w:rPr>
          <w:rFonts w:ascii="Calibri" w:cs="Calibri" w:eastAsia="Calibri" w:hAnsi="Calibri"/>
          <w:b w:val="false"/>
          <w:bCs w:val="false"/>
          <w:i w:val="false"/>
          <w:iCs w:val="false"/>
          <w:color w:val="000000"/>
          <w:sz w:val="20"/>
          <w:szCs w:val="20"/>
        </w:rPr>
        <w:t xml:space="preserve">Thirteen gap classes across 142 applications is a workstream, not a residual. Stand up a small "outside-the-code" team from the start — a mainframe systems programmer, a scheduling SME and an operations SME — to inventory these items per application family and build the two or three genuinely automatable pieces of bespoke tooling: routing-table extraction, symbolic-parameter resolution against scheduler definitions, and control-card semantic parsing. Those three are tractable; the rest is interviews and evidence gathering.</w:t>
      </w:r>
    </w:p>
    <w:p>
      <w:pPr>
        <w:pStyle w:val="Heading1"/>
        <w:spacing w:after="110" w:before="260"/>
      </w:pPr>
      <w:r>
        <w:rPr>
          <w:rFonts w:ascii="Calibri" w:cs="Calibri" w:eastAsia="Calibri" w:hAnsi="Calibri"/>
          <w:b/>
          <w:bCs/>
          <w:color w:val="1F3864"/>
          <w:sz w:val="27"/>
          <w:szCs w:val="27"/>
        </w:rPr>
        <w:t xml:space="preserve">7. Fit against the programme's confirmed target patterns</w:t>
      </w:r>
    </w:p>
    <w:p>
      <w:pPr>
        <w:spacing w:after="90" w:line="240"/>
        <w:jc w:val="left"/>
      </w:pPr>
      <w:r>
        <w:rPr>
          <w:rFonts w:ascii="Calibri" w:cs="Calibri" w:eastAsia="Calibri" w:hAnsi="Calibri"/>
          <w:b w:val="false"/>
          <w:bCs w:val="false"/>
          <w:i w:val="false"/>
          <w:iCs w:val="false"/>
          <w:color w:val="000000"/>
          <w:sz w:val="20"/>
          <w:szCs w:val="20"/>
        </w:rPr>
        <w:t xml:space="preserve">The programme has confirmed five target patterns. Each tool has implications for those targets that should be checked before selection.</w:t>
      </w:r>
    </w:p>
    <w:tbl>
      <w:tblPr>
        <w:tblW w:type="dxa" w:w="9360"/>
        <w:tblBorders>
          <w:top w:val="single" w:color="AEBAC9" w:sz="4"/>
          <w:left w:val="single" w:color="AEBAC9" w:sz="4"/>
          <w:bottom w:val="single" w:color="AEBAC9" w:sz="4"/>
          <w:right w:val="single" w:color="AEBAC9" w:sz="4"/>
          <w:insideH w:val="single" w:color="C9D2DD" w:sz="2"/>
          <w:insideV w:val="single" w:color="C9D2DD" w:sz="2"/>
        </w:tblBorders>
      </w:tblPr>
      <w:tblGrid>
        <w:gridCol w:w="2200"/>
        <w:gridCol w:w="3580"/>
        <w:gridCol w:w="3580"/>
      </w:tblGrid>
      <w:tr>
        <w:trPr>
          <w:cantSplit/>
          <w:tblHeader/>
        </w:trPr>
        <w:tc>
          <w:tcPr>
            <w:tcW w:type="dxa" w:w="2200"/>
            <w:shd w:fill="1F3864" w:color="auto" w:val="clear"/>
            <w:tcMar>
              <w:top w:type="dxa" w:w="40"/>
              <w:left w:type="dxa" w:w="80"/>
              <w:bottom w:type="dxa" w:w="40"/>
              <w:right w:type="dxa" w:w="80"/>
            </w:tcMar>
            <w:vAlign w:val="center"/>
          </w:tcPr>
          <w:p>
            <w:pPr>
              <w:spacing w:after="16" w:before="16" w:line="210"/>
              <w:jc w:val="left"/>
            </w:pPr>
            <w:r>
              <w:rPr>
                <w:rFonts w:ascii="Calibri" w:cs="Calibri" w:eastAsia="Calibri" w:hAnsi="Calibri"/>
                <w:b/>
                <w:bCs/>
                <w:i w:val="false"/>
                <w:iCs w:val="false"/>
                <w:color w:val="FFFFFF"/>
                <w:sz w:val="16"/>
                <w:szCs w:val="16"/>
              </w:rPr>
              <w:t xml:space="preserve">Confirmed target</w:t>
            </w:r>
          </w:p>
        </w:tc>
        <w:tc>
          <w:tcPr>
            <w:tcW w:type="dxa" w:w="3580"/>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CAST Imaging implication</w:t>
            </w:r>
          </w:p>
        </w:tc>
        <w:tc>
          <w:tcPr>
            <w:tcW w:type="dxa" w:w="3580"/>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AWS Transform implication</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JCL to shell scripts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Neutral. CAST analyses JCL and reports dependencies; it does not generate a target.</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Note the mismatch: the refactor path converts JCL to Groovy, not shell. If the refactor path is used, the target pattern is not met as stated. The reimagine path is agnostic and does meet it.</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IMS to Aurora PostgreSQL</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maps DBD/PSB structures and DL/I calls, with a stated PCB-detection limit. Useful input; no target generation.</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Aligned in principle — the runtime's JHDB API maps IMS hierarchical structures to a relational database. But that alignment belongs to the refactor path, which brings the runtime dependency with it.</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DB2 to Aurora</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maps embedded SQL and DB2 objects with High-rated coverage. Strong input for schema and access-path work.</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AWS claims full transformation of IBM Db2 for z/OS DDL to PostgreSQL including constraints. This is a genuine accelerator and is worth validating in a pilot.</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MQSeries to SQS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models MQ publishers and subscribers as transaction entry and exit points, which helps identify integration boundaries.</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The runtime supports SQS and IBM WebSphere MQ. Aligned.</w:t>
            </w:r>
          </w:p>
        </w:tc>
      </w:tr>
      <w:tr>
        <w:trPr>
          <w:cantSplit/>
        </w:trPr>
        <w:tc>
          <w:tcPr>
            <w:tcW w:type="dxa" w:w="22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RACF to Microsoft Entra ID</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Not addressed. RACF is not a CAST analyser target.</w:t>
            </w:r>
          </w:p>
        </w:tc>
        <w:tc>
          <w:tcPr>
            <w:tcW w:type="dxa" w:w="358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Not addressed for reverse engineering. The runtime documents OAuth2 with Amazon Cognito or Keycloak; Entra ID is not named in the documentation reviewed. UNVERIFIED — treat identity migration as a separate workstream under both tools.</w:t>
            </w:r>
          </w:p>
        </w:tc>
      </w:tr>
    </w:tbl>
    <w:p>
      <w:pPr>
        <w:spacing w:after="150" w:before="60"/>
      </w:pPr>
      <w:r>
        <w:rPr>
          <w:rFonts w:ascii="Calibri" w:cs="Calibri" w:eastAsia="Calibri" w:hAnsi="Calibri"/>
          <w:i/>
          <w:iCs/>
          <w:color w:val="595959"/>
          <w:sz w:val="15"/>
          <w:szCs w:val="15"/>
        </w:rPr>
        <w:t xml:space="preserve">Table 5. Target-pattern fit. Neither tool covers identity migration.</w:t>
      </w:r>
    </w:p>
    <w:p>
      <w:pPr>
        <w:pStyle w:val="Heading2"/>
        <w:spacing w:after="80" w:before="190"/>
      </w:pPr>
      <w:r>
        <w:rPr>
          <w:rFonts w:ascii="Calibri" w:cs="Calibri" w:eastAsia="Calibri" w:hAnsi="Calibri"/>
          <w:b/>
          <w:bCs/>
          <w:color w:val="1F3864"/>
          <w:sz w:val="22"/>
          <w:szCs w:val="22"/>
        </w:rPr>
        <w:t xml:space="preserve">7.1 The emulation and transliteration constraints</w:t>
      </w:r>
    </w:p>
    <w:p>
      <w:pPr>
        <w:spacing w:after="90" w:line="240"/>
        <w:jc w:val="left"/>
      </w:pPr>
      <w:r>
        <w:rPr>
          <w:rFonts w:ascii="Calibri" w:cs="Calibri" w:eastAsia="Calibri" w:hAnsi="Calibri"/>
          <w:b/>
          <w:bCs/>
          <w:i w:val="false"/>
          <w:iCs w:val="false"/>
          <w:color w:val="000000"/>
          <w:sz w:val="20"/>
          <w:szCs w:val="20"/>
        </w:rPr>
        <w:t xml:space="preserve">This is the most important commercial point in the document and it should be raised with AWS directly rather than discovered later. </w:t>
      </w:r>
      <w:r>
        <w:rPr>
          <w:rFonts w:ascii="Calibri" w:cs="Calibri" w:eastAsia="Calibri" w:hAnsi="Calibri"/>
          <w:b w:val="false"/>
          <w:bCs w:val="false"/>
          <w:i w:val="false"/>
          <w:iCs w:val="false"/>
          <w:color w:val="000000"/>
          <w:sz w:val="20"/>
          <w:szCs w:val="20"/>
        </w:rPr>
        <w:t xml:space="preserve">AWS's own runtime documentation states that the AWS Transform for mainframe Runtime provides "emulation of OS-provided programs", Java replacements for legacy system utilities including IDCAMS, IEBGENER and DFSORT, and support for "legacy transaction management systems (CICS, IMS)" through JICS and JHDB. Blusam replaces VSAM against a relational backend. Data Simplifier reproduces zoned and packed decimal memory semantics in Java, and the generated code does not use JPA — it executes direct SQL with externalised queries.</w:t>
      </w:r>
    </w:p>
    <w:p>
      <w:pPr>
        <w:spacing w:after="90" w:line="240"/>
        <w:jc w:val="left"/>
      </w:pPr>
      <w:r>
        <w:rPr>
          <w:rFonts w:ascii="Calibri" w:cs="Calibri" w:eastAsia="Calibri" w:hAnsi="Calibri"/>
          <w:b w:val="false"/>
          <w:bCs w:val="false"/>
          <w:i w:val="false"/>
          <w:iCs w:val="false"/>
          <w:color w:val="000000"/>
          <w:sz w:val="20"/>
          <w:szCs w:val="20"/>
        </w:rPr>
        <w:t xml:space="preserve">A programme that has prohibited emulation and rejected transliteration should read that carefully. The refactor path produces Java that behaves like COBOL, on a runtime that behaves like z/OS. Whether that constitutes prohibited emulation is a definitional question for the architecture authority — but it is a real risk, and it is not resolved by the artefact being a .java file.</w:t>
      </w:r>
    </w:p>
    <w:p>
      <w:pPr>
        <w:spacing w:after="90" w:line="240"/>
        <w:jc w:val="left"/>
      </w:pPr>
      <w:r>
        <w:rPr>
          <w:rFonts w:ascii="Calibri" w:cs="Calibri" w:eastAsia="Calibri" w:hAnsi="Calibri"/>
          <w:b/>
          <w:bCs/>
          <w:i w:val="false"/>
          <w:iCs w:val="false"/>
          <w:color w:val="000000"/>
          <w:sz w:val="20"/>
          <w:szCs w:val="20"/>
        </w:rPr>
        <w:t xml:space="preserve">The reimagine path does not have this problem. </w:t>
      </w:r>
      <w:r>
        <w:rPr>
          <w:rFonts w:ascii="Calibri" w:cs="Calibri" w:eastAsia="Calibri" w:hAnsi="Calibri"/>
          <w:b w:val="false"/>
          <w:bCs w:val="false"/>
          <w:i w:val="false"/>
          <w:iCs w:val="false"/>
          <w:color w:val="000000"/>
          <w:sz w:val="20"/>
          <w:szCs w:val="20"/>
        </w:rPr>
        <w:t xml:space="preserve">Requirements in EARS notation, with acceptance criteria and traceability to source lines, are technology-agnostic by construction. Forward engineering from those requirements — by human teams, by an agentic coding tool, or both — is capable of producing idiomatic Java that carries no runtime dependency and no COBOL-shaped structure. This distinction should be written into any AWS statement of work: the programme is buying reverse engineering and requirements, not the transformation engine.</w:t>
      </w:r>
    </w:p>
    <w:p>
      <w:pPr>
        <w:pStyle w:val="Heading1"/>
        <w:spacing w:after="110" w:before="260"/>
      </w:pPr>
      <w:r>
        <w:rPr>
          <w:rFonts w:ascii="Calibri" w:cs="Calibri" w:eastAsia="Calibri" w:hAnsi="Calibri"/>
          <w:b/>
          <w:bCs/>
          <w:color w:val="1F3864"/>
          <w:sz w:val="27"/>
          <w:szCs w:val="27"/>
        </w:rPr>
        <w:t xml:space="preserve">8. Recommendation</w:t>
      </w:r>
    </w:p>
    <w:p>
      <w:pPr>
        <w:pStyle w:val="Heading2"/>
        <w:spacing w:after="80" w:before="190"/>
      </w:pPr>
      <w:r>
        <w:rPr>
          <w:rFonts w:ascii="Calibri" w:cs="Calibri" w:eastAsia="Calibri" w:hAnsi="Calibri"/>
          <w:b/>
          <w:bCs/>
          <w:color w:val="1F3864"/>
          <w:sz w:val="22"/>
          <w:szCs w:val="22"/>
        </w:rPr>
        <w:t xml:space="preserve">8.1 The decision</w:t>
      </w:r>
    </w:p>
    <w:p>
      <w:pPr>
        <w:spacing w:after="90" w:line="240"/>
        <w:jc w:val="left"/>
      </w:pPr>
      <w:r>
        <w:rPr>
          <w:rFonts w:ascii="Calibri" w:cs="Calibri" w:eastAsia="Calibri" w:hAnsi="Calibri"/>
          <w:b/>
          <w:bCs/>
          <w:i w:val="false"/>
          <w:iCs w:val="false"/>
          <w:color w:val="000000"/>
          <w:sz w:val="20"/>
          <w:szCs w:val="20"/>
        </w:rPr>
        <w:t xml:space="preserve">Adopt both, with a defined division of labour, and start them on separate clocks. </w:t>
      </w:r>
      <w:r>
        <w:rPr>
          <w:rFonts w:ascii="Calibri" w:cs="Calibri" w:eastAsia="Calibri" w:hAnsi="Calibri"/>
          <w:b w:val="false"/>
          <w:bCs w:val="false"/>
          <w:i w:val="false"/>
          <w:iCs w:val="false"/>
          <w:color w:val="000000"/>
          <w:sz w:val="20"/>
          <w:szCs w:val="20"/>
        </w:rPr>
        <w:t xml:space="preserve">The weighted scores are 3.25 to 3.02 — close enough that a single-tool decision would be trading one set of gaps for another rather than closing any. The strengths are genuinely complementary: CAST is the better static graph and the better independent check; AWS Transform is the better route from code to requirements and the only route to run-time usage evidence.</w:t>
      </w:r>
    </w:p>
    <w:p>
      <w:pPr>
        <w:pStyle w:val="Heading2"/>
        <w:spacing w:after="80" w:before="190"/>
      </w:pPr>
      <w:r>
        <w:rPr>
          <w:rFonts w:ascii="Calibri" w:cs="Calibri" w:eastAsia="Calibri" w:hAnsi="Calibri"/>
          <w:b/>
          <w:bCs/>
          <w:color w:val="1F3864"/>
          <w:sz w:val="22"/>
          <w:szCs w:val="22"/>
        </w:rPr>
        <w:t xml:space="preserve">8.2 Sequencing — the part that saves the schedule</w:t>
      </w:r>
    </w:p>
    <w:p>
      <w:pPr>
        <w:pStyle w:val="ListParagraph"/>
        <w:numPr>
          <w:ilvl w:val="0"/>
          <w:numId w:val="5"/>
        </w:numPr>
        <w:spacing w:after="60" w:line="240"/>
      </w:pPr>
      <w:r>
        <w:rPr>
          <w:rFonts w:ascii="Calibri" w:cs="Calibri" w:eastAsia="Calibri" w:hAnsi="Calibri"/>
          <w:b/>
          <w:bCs/>
          <w:i w:val="false"/>
          <w:iCs w:val="false"/>
          <w:sz w:val="20"/>
          <w:szCs w:val="20"/>
        </w:rPr>
        <w:t xml:space="preserve">Day 1: submit AWS Transform to the four-stage governance review. </w:t>
      </w:r>
      <w:r>
        <w:rPr>
          <w:rFonts w:ascii="Calibri" w:cs="Calibri" w:eastAsia="Calibri" w:hAnsi="Calibri"/>
          <w:b w:val="false"/>
          <w:bCs w:val="false"/>
          <w:i w:val="false"/>
          <w:iCs w:val="false"/>
          <w:sz w:val="20"/>
          <w:szCs w:val="20"/>
        </w:rPr>
        <w:t xml:space="preserve">The approval cycle is the long pole; nothing else in the tooling decision moves the programme date as much as starting this clock immediately. The submission should cover the S3 upload model, Bedrock cross-region inference within the US geography, the AWS Organizations AI services opt-out policy, and the human-in-the-loop checkpoints.</w:t>
      </w:r>
    </w:p>
    <w:p>
      <w:pPr>
        <w:pStyle w:val="ListParagraph"/>
        <w:numPr>
          <w:ilvl w:val="0"/>
          <w:numId w:val="5"/>
        </w:numPr>
        <w:spacing w:after="60" w:line="240"/>
      </w:pPr>
      <w:r>
        <w:rPr>
          <w:rFonts w:ascii="Calibri" w:cs="Calibri" w:eastAsia="Calibri" w:hAnsi="Calibri"/>
          <w:b/>
          <w:bCs/>
          <w:i w:val="false"/>
          <w:iCs w:val="false"/>
          <w:sz w:val="20"/>
          <w:szCs w:val="20"/>
        </w:rPr>
        <w:t xml:space="preserve">Day 1, in parallel: deploy CAST Imaging on-premises with AI features disabled. </w:t>
      </w:r>
      <w:r>
        <w:rPr>
          <w:rFonts w:ascii="Calibri" w:cs="Calibri" w:eastAsia="Calibri" w:hAnsi="Calibri"/>
          <w:b w:val="false"/>
          <w:bCs w:val="false"/>
          <w:i w:val="false"/>
          <w:iCs w:val="false"/>
          <w:sz w:val="20"/>
          <w:szCs w:val="20"/>
        </w:rPr>
        <w:t xml:space="preserve">Record the disablement as a configuration standard and a control, so the deterministic-core argument is evidenced rather than asserted. Treat any future enablement of CAST's AI assistance or MCP server as a separate governance submission.</w:t>
      </w:r>
    </w:p>
    <w:p>
      <w:pPr>
        <w:pStyle w:val="ListParagraph"/>
        <w:numPr>
          <w:ilvl w:val="0"/>
          <w:numId w:val="5"/>
        </w:numPr>
        <w:spacing w:after="60" w:line="240"/>
      </w:pPr>
      <w:r>
        <w:rPr>
          <w:rFonts w:ascii="Calibri" w:cs="Calibri" w:eastAsia="Calibri" w:hAnsi="Calibri"/>
          <w:b/>
          <w:bCs/>
          <w:i w:val="false"/>
          <w:iCs w:val="false"/>
          <w:sz w:val="20"/>
          <w:szCs w:val="20"/>
        </w:rPr>
        <w:t xml:space="preserve">Weeks 1–8: source collection, which both tools need and neither can start without. </w:t>
      </w:r>
      <w:r>
        <w:rPr>
          <w:rFonts w:ascii="Calibri" w:cs="Calibri" w:eastAsia="Calibri" w:hAnsi="Calibri"/>
          <w:b w:val="false"/>
          <w:bCs w:val="false"/>
          <w:i w:val="false"/>
          <w:iCs w:val="false"/>
          <w:sz w:val="20"/>
          <w:szCs w:val="20"/>
        </w:rPr>
        <w:t xml:space="preserve">Full source including every PROC, INCLUDE and copybook; CSD via DFHCSDUP; IMS Stage 1 via DFSURDD0; CA-7 LJOB reports with correct carriage control; thirteen months of SMF in raw binary EBCDIC with RDW preserved. Systems-programmer work, on the critical path for both tools.</w:t>
      </w:r>
    </w:p>
    <w:p>
      <w:pPr>
        <w:pStyle w:val="ListParagraph"/>
        <w:numPr>
          <w:ilvl w:val="0"/>
          <w:numId w:val="5"/>
        </w:numPr>
        <w:spacing w:after="60" w:line="240"/>
      </w:pPr>
      <w:r>
        <w:rPr>
          <w:rFonts w:ascii="Calibri" w:cs="Calibri" w:eastAsia="Calibri" w:hAnsi="Calibri"/>
          <w:b/>
          <w:bCs/>
          <w:i w:val="false"/>
          <w:iCs w:val="false"/>
          <w:sz w:val="20"/>
          <w:szCs w:val="20"/>
        </w:rPr>
        <w:t xml:space="preserve">Weeks 4–12: CAST pilot on two or three representative application families. </w:t>
      </w:r>
      <w:r>
        <w:rPr>
          <w:rFonts w:ascii="Calibri" w:cs="Calibri" w:eastAsia="Calibri" w:hAnsi="Calibri"/>
          <w:b w:val="false"/>
          <w:bCs w:val="false"/>
          <w:i w:val="false"/>
          <w:iCs w:val="false"/>
          <w:sz w:val="20"/>
          <w:szCs w:val="20"/>
        </w:rPr>
        <w:t xml:space="preserve">Deliberately choose one with heavy dynamic dispatch. Tune the Inference Engine and record the reported resolution percentage as the call-graph completeness baseline. Complete the mandatory dynamic-link validation and count how many links needed manual review — extrapolated, that is the honest estimate of CAST effort across 142 applications.</w:t>
      </w:r>
    </w:p>
    <w:p>
      <w:pPr>
        <w:pStyle w:val="ListParagraph"/>
        <w:numPr>
          <w:ilvl w:val="0"/>
          <w:numId w:val="5"/>
        </w:numPr>
        <w:spacing w:after="60" w:line="240"/>
      </w:pPr>
      <w:r>
        <w:rPr>
          <w:rFonts w:ascii="Calibri" w:cs="Calibri" w:eastAsia="Calibri" w:hAnsi="Calibri"/>
          <w:b/>
          <w:bCs/>
          <w:i w:val="false"/>
          <w:iCs w:val="false"/>
          <w:sz w:val="20"/>
          <w:szCs w:val="20"/>
        </w:rPr>
        <w:t xml:space="preserve">On approval: AWS Transform pilot on the same application families. </w:t>
      </w:r>
      <w:r>
        <w:rPr>
          <w:rFonts w:ascii="Calibri" w:cs="Calibri" w:eastAsia="Calibri" w:hAnsi="Calibri"/>
          <w:b w:val="false"/>
          <w:bCs w:val="false"/>
          <w:i w:val="false"/>
          <w:iCs w:val="false"/>
          <w:sz w:val="20"/>
          <w:szCs w:val="20"/>
        </w:rPr>
        <w:t xml:space="preserve">Run Assess and Reimagine end to end on one business function. Verify the "not accounted for = 0" claim by having an SME audit a sample of extracted rules against source. Compare AWS's decomposition against CAST's transaction and data call graphs — where the two disagree is where the estate is genuinely ambiguous, and where SME time is best spent.</w:t>
      </w:r>
    </w:p>
    <w:p>
      <w:pPr>
        <w:pStyle w:val="ListParagraph"/>
        <w:numPr>
          <w:ilvl w:val="0"/>
          <w:numId w:val="5"/>
        </w:numPr>
        <w:spacing w:after="60" w:line="240"/>
      </w:pPr>
      <w:r>
        <w:rPr>
          <w:rFonts w:ascii="Calibri" w:cs="Calibri" w:eastAsia="Calibri" w:hAnsi="Calibri"/>
          <w:b/>
          <w:bCs/>
          <w:i w:val="false"/>
          <w:iCs w:val="false"/>
          <w:sz w:val="20"/>
          <w:szCs w:val="20"/>
        </w:rPr>
        <w:t xml:space="preserve">Throughout: the outside-the-code workstream. </w:t>
      </w:r>
      <w:r>
        <w:rPr>
          <w:rFonts w:ascii="Calibri" w:cs="Calibri" w:eastAsia="Calibri" w:hAnsi="Calibri"/>
          <w:b w:val="false"/>
          <w:bCs w:val="false"/>
          <w:i w:val="false"/>
          <w:iCs w:val="false"/>
          <w:sz w:val="20"/>
          <w:szCs w:val="20"/>
        </w:rPr>
        <w:t xml:space="preserve">Standing team against the thirteen gaps in section 6, with bespoke tooling for routing-table extraction, symbolic-parameter resolution and control-card parsing.</w:t>
      </w:r>
    </w:p>
    <w:p>
      <w:pPr>
        <w:pStyle w:val="Heading2"/>
        <w:spacing w:after="80" w:before="190"/>
      </w:pPr>
      <w:r>
        <w:rPr>
          <w:rFonts w:ascii="Calibri" w:cs="Calibri" w:eastAsia="Calibri" w:hAnsi="Calibri"/>
          <w:b/>
          <w:bCs/>
          <w:color w:val="1F3864"/>
          <w:sz w:val="22"/>
          <w:szCs w:val="22"/>
        </w:rPr>
        <w:t xml:space="preserve">8.3 Division of labour once both are live</w:t>
      </w:r>
    </w:p>
    <w:tbl>
      <w:tblPr>
        <w:tblW w:type="dxa" w:w="9360"/>
        <w:tblBorders>
          <w:top w:val="single" w:color="AEBAC9" w:sz="4"/>
          <w:left w:val="single" w:color="AEBAC9" w:sz="4"/>
          <w:bottom w:val="single" w:color="AEBAC9" w:sz="4"/>
          <w:right w:val="single" w:color="AEBAC9" w:sz="4"/>
          <w:insideH w:val="single" w:color="C9D2DD" w:sz="2"/>
          <w:insideV w:val="single" w:color="C9D2DD" w:sz="2"/>
        </w:tblBorders>
      </w:tblPr>
      <w:tblGrid>
        <w:gridCol w:w="3000"/>
        <w:gridCol w:w="6360"/>
      </w:tblGrid>
      <w:tr>
        <w:trPr>
          <w:cantSplit/>
          <w:tblHeader/>
        </w:trPr>
        <w:tc>
          <w:tcPr>
            <w:tcW w:type="dxa" w:w="3000"/>
            <w:shd w:fill="1F3864" w:color="auto" w:val="clear"/>
            <w:tcMar>
              <w:top w:type="dxa" w:w="40"/>
              <w:left w:type="dxa" w:w="80"/>
              <w:bottom w:type="dxa" w:w="40"/>
              <w:right w:type="dxa" w:w="80"/>
            </w:tcMar>
            <w:vAlign w:val="center"/>
          </w:tcPr>
          <w:p>
            <w:pPr>
              <w:spacing w:after="16" w:before="16" w:line="210"/>
              <w:jc w:val="left"/>
            </w:pPr>
            <w:r>
              <w:rPr>
                <w:rFonts w:ascii="Calibri" w:cs="Calibri" w:eastAsia="Calibri" w:hAnsi="Calibri"/>
                <w:b/>
                <w:bCs/>
                <w:i w:val="false"/>
                <w:iCs w:val="false"/>
                <w:color w:val="FFFFFF"/>
                <w:sz w:val="16"/>
                <w:szCs w:val="16"/>
              </w:rPr>
              <w:t xml:space="preserve">Activity</w:t>
            </w:r>
          </w:p>
        </w:tc>
        <w:tc>
          <w:tcPr>
            <w:tcW w:type="dxa" w:w="6360"/>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Primary tool and rationale</w:t>
            </w:r>
          </w:p>
        </w:tc>
      </w:tr>
      <w:tr>
        <w:trPr>
          <w:cantSplit/>
        </w:trPr>
        <w:tc>
          <w:tcPr>
            <w:tcW w:type="dxa" w:w="30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Estate inventory and technology mix</w:t>
            </w:r>
          </w:p>
        </w:tc>
        <w:tc>
          <w:tcPr>
            <w:tcW w:type="dxa" w:w="6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Highlight for portfolio triage across 142 applications; CAST Imaging for depth on the applications selected into early waves.</w:t>
            </w:r>
          </w:p>
        </w:tc>
      </w:tr>
      <w:tr>
        <w:trPr>
          <w:cantSplit/>
        </w:trPr>
        <w:tc>
          <w:tcPr>
            <w:tcW w:type="dxa" w:w="30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Call graph, impact analysis, path finding</w:t>
            </w:r>
          </w:p>
        </w:tc>
        <w:tc>
          <w:tcPr>
            <w:tcW w:type="dxa" w:w="6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Imaging. Better interactive traversal, measurable completeness, and independence from the target-platform vendor.</w:t>
            </w:r>
          </w:p>
        </w:tc>
      </w:tr>
      <w:tr>
        <w:trPr>
          <w:cantSplit/>
        </w:trPr>
        <w:tc>
          <w:tcPr>
            <w:tcW w:type="dxa" w:w="30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Cross-application coupling and shared-dataset mapping</w:t>
            </w:r>
          </w:p>
        </w:tc>
        <w:tc>
          <w:tcPr>
            <w:tcW w:type="dxa" w:w="6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Both, reconciled. CAST for the graph, AWS Transform for the shared-datastore view that feeds wave planning. Disagreements are the finding.</w:t>
            </w:r>
          </w:p>
        </w:tc>
      </w:tr>
      <w:tr>
        <w:trPr>
          <w:cantSplit/>
        </w:trPr>
        <w:tc>
          <w:tcPr>
            <w:tcW w:type="dxa" w:w="30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Business-rule extraction and requirements</w:t>
            </w:r>
          </w:p>
        </w:tc>
        <w:tc>
          <w:tcPr>
            <w:tcW w:type="dxa" w:w="6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AWS Transform. EARS requirements with source-line traceability are the deliverable a no-transliteration mandate requires, and CAST does not produce them.</w:t>
            </w:r>
          </w:p>
        </w:tc>
      </w:tr>
      <w:tr>
        <w:trPr>
          <w:cantSplit/>
        </w:trPr>
        <w:tc>
          <w:tcPr>
            <w:tcW w:type="dxa" w:w="30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Domain decomposition and wave planning</w:t>
            </w:r>
          </w:p>
        </w:tc>
        <w:tc>
          <w:tcPr>
            <w:tcW w:type="dxa" w:w="6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AWS Transform, with CAST used as an independent check on the proposed boundaries before they are approved.</w:t>
            </w:r>
          </w:p>
        </w:tc>
      </w:tr>
      <w:tr>
        <w:trPr>
          <w:cantSplit/>
        </w:trPr>
        <w:tc>
          <w:tcPr>
            <w:tcW w:type="dxa" w:w="30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Dead code and dormant features</w:t>
            </w:r>
          </w:p>
        </w:tc>
        <w:tc>
          <w:tcPr>
            <w:tcW w:type="dxa" w:w="6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Both, reconciled. CAST for statically unreachable code; AWS SMF evidence for reachable-but-unused. Neither alone is a safe decommissioning basis.</w:t>
            </w:r>
          </w:p>
        </w:tc>
      </w:tr>
      <w:tr>
        <w:trPr>
          <w:cantSplit/>
        </w:trPr>
        <w:tc>
          <w:tcPr>
            <w:tcW w:type="dxa" w:w="30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Clone and variant consolidation</w:t>
            </w:r>
          </w:p>
        </w:tc>
        <w:tc>
          <w:tcPr>
            <w:tcW w:type="dxa" w:w="6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AWS Transform Homonyms for exact-identity grouping and diff; human SME plus load-library evidence for authority determination.</w:t>
            </w:r>
          </w:p>
        </w:tc>
      </w:tr>
      <w:tr>
        <w:trPr>
          <w:cantSplit/>
        </w:trPr>
        <w:tc>
          <w:tcPr>
            <w:tcW w:type="dxa" w:w="30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Test planning and functional equivalence</w:t>
            </w:r>
          </w:p>
        </w:tc>
        <w:tc>
          <w:tcPr>
            <w:tcW w:type="dxa" w:w="6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AWS Transform. Test plan generation from code, business logic and scheduler plan, with generated JCL data-collection scripts.</w:t>
            </w:r>
          </w:p>
        </w:tc>
      </w:tr>
      <w:tr>
        <w:trPr>
          <w:cantSplit/>
        </w:trPr>
        <w:tc>
          <w:tcPr>
            <w:tcW w:type="dxa" w:w="30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Logic outside the COBOL</w:t>
            </w:r>
          </w:p>
        </w:tc>
        <w:tc>
          <w:tcPr>
            <w:tcW w:type="dxa" w:w="6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Neither. Dedicated SME workstream with bespoke tooling.</w:t>
            </w:r>
          </w:p>
        </w:tc>
      </w:tr>
      <w:tr>
        <w:trPr>
          <w:cantSplit/>
        </w:trPr>
        <w:tc>
          <w:tcPr>
            <w:tcW w:type="dxa" w:w="30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Forward engineering to idiomatic Java</w:t>
            </w:r>
          </w:p>
        </w:tc>
        <w:tc>
          <w:tcPr>
            <w:tcW w:type="dxa" w:w="6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Neither, as a transform engine. Requirements from AWS Transform plus CAST graph context via MCP, consumed by an agentic coding capability with human review — explicitly not the refactor engine and its runtime.</w:t>
            </w:r>
          </w:p>
        </w:tc>
      </w:tr>
    </w:tbl>
    <w:p>
      <w:pPr>
        <w:spacing w:after="150" w:before="60"/>
      </w:pPr>
      <w:r>
        <w:rPr>
          <w:rFonts w:ascii="Calibri" w:cs="Calibri" w:eastAsia="Calibri" w:hAnsi="Calibri"/>
          <w:i/>
          <w:iCs/>
          <w:color w:val="595959"/>
          <w:sz w:val="15"/>
          <w:szCs w:val="15"/>
        </w:rPr>
        <w:t xml:space="preserve">Table 6. Proposed division of labour.</w:t>
      </w:r>
    </w:p>
    <w:p>
      <w:pPr>
        <w:pStyle w:val="Heading2"/>
        <w:spacing w:after="80" w:before="190"/>
      </w:pPr>
      <w:r>
        <w:rPr>
          <w:rFonts w:ascii="Calibri" w:cs="Calibri" w:eastAsia="Calibri" w:hAnsi="Calibri"/>
          <w:b/>
          <w:bCs/>
          <w:color w:val="1F3864"/>
          <w:sz w:val="22"/>
          <w:szCs w:val="22"/>
        </w:rPr>
        <w:t xml:space="preserve">8.4 What would change this recommendation</w:t>
      </w:r>
    </w:p>
    <w:p>
      <w:pPr>
        <w:pStyle w:val="ListParagraph"/>
        <w:numPr>
          <w:ilvl w:val="0"/>
          <w:numId w:val="3"/>
        </w:numPr>
        <w:spacing w:after="60" w:line="240"/>
      </w:pPr>
      <w:r>
        <w:rPr>
          <w:rFonts w:ascii="Calibri" w:cs="Calibri" w:eastAsia="Calibri" w:hAnsi="Calibri"/>
          <w:sz w:val="20"/>
          <w:szCs w:val="20"/>
        </w:rPr>
        <w:t xml:space="preserve">If the governance review rejects agentic services, or approval slips beyond four months, the programme runs on CAST alone and must fund a substantially larger human effort for rule extraction and requirements authoring. The CAST MCP server then becomes the only way to ground an approved coding assistant in the estate's structure.</w:t>
      </w:r>
    </w:p>
    <w:p>
      <w:pPr>
        <w:pStyle w:val="ListParagraph"/>
        <w:numPr>
          <w:ilvl w:val="0"/>
          <w:numId w:val="3"/>
        </w:numPr>
        <w:spacing w:after="60" w:line="240"/>
      </w:pPr>
      <w:r>
        <w:rPr>
          <w:rFonts w:ascii="Calibri" w:cs="Calibri" w:eastAsia="Calibri" w:hAnsi="Calibri"/>
          <w:sz w:val="20"/>
          <w:szCs w:val="20"/>
        </w:rPr>
        <w:t xml:space="preserve">If a proof of concept shows AWS Transform resolves dynamic CALL targets materially better than the absence of documentation suggests, its score on the highest-weighted criterion moves and the case for CAST narrows. This is the most valuable thing to test in a pilot.</w:t>
      </w:r>
    </w:p>
    <w:p>
      <w:pPr>
        <w:pStyle w:val="ListParagraph"/>
        <w:numPr>
          <w:ilvl w:val="0"/>
          <w:numId w:val="3"/>
        </w:numPr>
        <w:spacing w:after="60" w:line="240"/>
      </w:pPr>
      <w:r>
        <w:rPr>
          <w:rFonts w:ascii="Calibri" w:cs="Calibri" w:eastAsia="Calibri" w:hAnsi="Calibri"/>
          <w:sz w:val="20"/>
          <w:szCs w:val="20"/>
        </w:rPr>
        <w:t xml:space="preserve">If CAST cannot demonstrate acceptable dynamic-link resolution on the estate's real dispatcher programs, its principal advantage evaporates and the recommendation reduces to AWS Transform plus a much larger bespoke tooling effort.</w:t>
      </w:r>
    </w:p>
    <w:p>
      <w:pPr>
        <w:pStyle w:val="ListParagraph"/>
        <w:numPr>
          <w:ilvl w:val="0"/>
          <w:numId w:val="3"/>
        </w:numPr>
        <w:spacing w:after="60" w:line="240"/>
      </w:pPr>
      <w:r>
        <w:rPr>
          <w:rFonts w:ascii="Calibri" w:cs="Calibri" w:eastAsia="Calibri" w:hAnsi="Calibri"/>
          <w:sz w:val="20"/>
          <w:szCs w:val="20"/>
        </w:rPr>
        <w:t xml:space="preserve">If AWS moves the mainframe agent from free to paid — which its own pricing page reserves the right to do — the commercial comparison must be re-run.</w:t>
      </w:r>
    </w:p>
    <w:p>
      <w:r>
        <w:br w:type="page"/>
      </w:r>
    </w:p>
    <w:p>
      <w:pPr>
        <w:pStyle w:val="Heading1"/>
        <w:spacing w:after="110" w:before="260"/>
      </w:pPr>
      <w:r>
        <w:rPr>
          <w:rFonts w:ascii="Calibri" w:cs="Calibri" w:eastAsia="Calibri" w:hAnsi="Calibri"/>
          <w:b/>
          <w:bCs/>
          <w:color w:val="1F3864"/>
          <w:sz w:val="27"/>
          <w:szCs w:val="27"/>
        </w:rPr>
        <w:t xml:space="preserve">9. References</w:t>
      </w:r>
    </w:p>
    <w:p>
      <w:pPr>
        <w:spacing w:after="90" w:line="240"/>
        <w:jc w:val="left"/>
      </w:pPr>
      <w:r>
        <w:rPr>
          <w:rFonts w:ascii="Calibri" w:cs="Calibri" w:eastAsia="Calibri" w:hAnsi="Calibri"/>
          <w:b w:val="false"/>
          <w:bCs w:val="false"/>
          <w:i/>
          <w:iCs/>
          <w:color w:val="595959"/>
          <w:sz w:val="20"/>
          <w:szCs w:val="20"/>
        </w:rPr>
        <w:t xml:space="preserve">All sources accessed 14 August 2026. Vendor capability changes rapidly; re-verify before commercial reliance.</w:t>
      </w:r>
    </w:p>
    <w:p>
      <w:pPr>
        <w:pStyle w:val="Heading2"/>
        <w:spacing w:after="80" w:before="190"/>
      </w:pPr>
      <w:r>
        <w:rPr>
          <w:rFonts w:ascii="Calibri" w:cs="Calibri" w:eastAsia="Calibri" w:hAnsi="Calibri"/>
          <w:b/>
          <w:bCs/>
          <w:color w:val="1F3864"/>
          <w:sz w:val="22"/>
          <w:szCs w:val="22"/>
        </w:rPr>
        <w:t xml:space="preserve">AWS Transform — primary sources</w:t>
      </w:r>
    </w:p>
    <w:p>
      <w:pPr>
        <w:pStyle w:val="ListParagraph"/>
        <w:numPr>
          <w:ilvl w:val="0"/>
          <w:numId w:val="6"/>
        </w:numPr>
        <w:spacing w:after="20" w:line="216"/>
      </w:pPr>
      <w:r>
        <w:rPr>
          <w:rFonts w:ascii="Calibri" w:cs="Calibri" w:eastAsia="Calibri" w:hAnsi="Calibri"/>
          <w:sz w:val="15"/>
          <w:szCs w:val="15"/>
        </w:rPr>
        <w:t xml:space="preserve">Modernization of mainframe applications — AWS Transform User Guide. https://docs.aws.amazon.com/transform/latest/userguide/transform-app-mainframe.html</w:t>
      </w:r>
    </w:p>
    <w:p>
      <w:pPr>
        <w:pStyle w:val="ListParagraph"/>
        <w:numPr>
          <w:ilvl w:val="0"/>
          <w:numId w:val="6"/>
        </w:numPr>
        <w:spacing w:after="20" w:line="216"/>
      </w:pPr>
      <w:r>
        <w:rPr>
          <w:rFonts w:ascii="Calibri" w:cs="Calibri" w:eastAsia="Calibri" w:hAnsi="Calibri"/>
          <w:sz w:val="15"/>
          <w:szCs w:val="15"/>
        </w:rPr>
        <w:t xml:space="preserve">Transformation of mainframe applications — AWS Transform User Guide. https://docs.aws.amazon.com/transform/latest/userguide/transform-app-mainframe-workflow.html</w:t>
      </w:r>
    </w:p>
    <w:p>
      <w:pPr>
        <w:pStyle w:val="ListParagraph"/>
        <w:numPr>
          <w:ilvl w:val="0"/>
          <w:numId w:val="6"/>
        </w:numPr>
        <w:spacing w:after="20" w:line="216"/>
      </w:pPr>
      <w:r>
        <w:rPr>
          <w:rFonts w:ascii="Calibri" w:cs="Calibri" w:eastAsia="Calibri" w:hAnsi="Calibri"/>
          <w:sz w:val="15"/>
          <w:szCs w:val="15"/>
        </w:rPr>
        <w:t xml:space="preserve">Mainframe source artifacts collection — AWS Transform User Guide. https://docs.aws.amazon.com/transform/latest/userguide/transform-app-mainframe-source-artifacts.html</w:t>
      </w:r>
    </w:p>
    <w:p>
      <w:pPr>
        <w:pStyle w:val="ListParagraph"/>
        <w:numPr>
          <w:ilvl w:val="0"/>
          <w:numId w:val="6"/>
        </w:numPr>
        <w:spacing w:after="20" w:line="216"/>
      </w:pPr>
      <w:r>
        <w:rPr>
          <w:rFonts w:ascii="Calibri" w:cs="Calibri" w:eastAsia="Calibri" w:hAnsi="Calibri"/>
          <w:sz w:val="15"/>
          <w:szCs w:val="15"/>
        </w:rPr>
        <w:t xml:space="preserve">High-level overview of mainframe modernization journey — AWS Transform User Guide. https://docs.aws.amazon.com/transform/latest/userguide/transform-app-mainframe-modernization-journey.html</w:t>
      </w:r>
    </w:p>
    <w:p>
      <w:pPr>
        <w:pStyle w:val="ListParagraph"/>
        <w:numPr>
          <w:ilvl w:val="0"/>
          <w:numId w:val="6"/>
        </w:numPr>
        <w:spacing w:after="20" w:line="216"/>
      </w:pPr>
      <w:r>
        <w:rPr>
          <w:rFonts w:ascii="Calibri" w:cs="Calibri" w:eastAsia="Calibri" w:hAnsi="Calibri"/>
          <w:sz w:val="15"/>
          <w:szCs w:val="15"/>
        </w:rPr>
        <w:t xml:space="preserve">Cross-region processing in AWS Transform. https://docs.aws.amazon.com/transform/latest/userguide/cross-region-processing.html</w:t>
      </w:r>
    </w:p>
    <w:p>
      <w:pPr>
        <w:pStyle w:val="ListParagraph"/>
        <w:numPr>
          <w:ilvl w:val="0"/>
          <w:numId w:val="6"/>
        </w:numPr>
        <w:spacing w:after="20" w:line="216"/>
      </w:pPr>
      <w:r>
        <w:rPr>
          <w:rFonts w:ascii="Calibri" w:cs="Calibri" w:eastAsia="Calibri" w:hAnsi="Calibri"/>
          <w:sz w:val="15"/>
          <w:szCs w:val="15"/>
        </w:rPr>
        <w:t xml:space="preserve">Data protection in AWS Transform. https://docs.aws.amazon.com/transform/latest/userguide/data-protection.html</w:t>
      </w:r>
    </w:p>
    <w:p>
      <w:pPr>
        <w:pStyle w:val="ListParagraph"/>
        <w:numPr>
          <w:ilvl w:val="0"/>
          <w:numId w:val="6"/>
        </w:numPr>
        <w:spacing w:after="20" w:line="216"/>
      </w:pPr>
      <w:r>
        <w:rPr>
          <w:rFonts w:ascii="Calibri" w:cs="Calibri" w:eastAsia="Calibri" w:hAnsi="Calibri"/>
          <w:sz w:val="15"/>
          <w:szCs w:val="15"/>
        </w:rPr>
        <w:t xml:space="preserve">AWS Transform service improvement (and opt-out). https://docs.aws.amazon.com/transform/latest/userguide/service-improvement.html</w:t>
      </w:r>
    </w:p>
    <w:p>
      <w:pPr>
        <w:pStyle w:val="ListParagraph"/>
        <w:numPr>
          <w:ilvl w:val="0"/>
          <w:numId w:val="6"/>
        </w:numPr>
        <w:spacing w:after="20" w:line="216"/>
      </w:pPr>
      <w:r>
        <w:rPr>
          <w:rFonts w:ascii="Calibri" w:cs="Calibri" w:eastAsia="Calibri" w:hAnsi="Calibri"/>
          <w:sz w:val="15"/>
          <w:szCs w:val="15"/>
        </w:rPr>
        <w:t xml:space="preserve">AWS Transform for mainframe FAQ — AWS Mainframe Modernization User Guide. https://docs.aws.amazon.com/m2/latest/userguide/ba-faq.html</w:t>
      </w:r>
    </w:p>
    <w:p>
      <w:pPr>
        <w:pStyle w:val="ListParagraph"/>
        <w:numPr>
          <w:ilvl w:val="0"/>
          <w:numId w:val="6"/>
        </w:numPr>
        <w:spacing w:after="20" w:line="216"/>
      </w:pPr>
      <w:r>
        <w:rPr>
          <w:rFonts w:ascii="Calibri" w:cs="Calibri" w:eastAsia="Calibri" w:hAnsi="Calibri"/>
          <w:sz w:val="15"/>
          <w:szCs w:val="15"/>
        </w:rPr>
        <w:t xml:space="preserve">Decomposing the code — AWS Prescriptive Guidance: Decomposing legacy mainframe applications by using AWS Transform. https://docs.aws.amazon.com/prescriptive-guidance/latest/mainframe-decomposition-aws-transform/decomposition-steps.html</w:t>
      </w:r>
    </w:p>
    <w:p>
      <w:pPr>
        <w:pStyle w:val="ListParagraph"/>
        <w:numPr>
          <w:ilvl w:val="0"/>
          <w:numId w:val="6"/>
        </w:numPr>
        <w:spacing w:after="20" w:line="216"/>
      </w:pPr>
      <w:r>
        <w:rPr>
          <w:rFonts w:ascii="Calibri" w:cs="Calibri" w:eastAsia="Calibri" w:hAnsi="Calibri"/>
          <w:sz w:val="15"/>
          <w:szCs w:val="15"/>
        </w:rPr>
        <w:t xml:space="preserve">Reimagine mainframe applications with traceability and speed using AWS Transform — AWS Migration &amp; Modernization Blog, 26 June 2026. https://aws.amazon.com/blogs/migration-and-modernization/reimagine-mainframe-applications-with-traceability-and-speed-using-aws-transform/</w:t>
      </w:r>
    </w:p>
    <w:p>
      <w:pPr>
        <w:pStyle w:val="ListParagraph"/>
        <w:numPr>
          <w:ilvl w:val="0"/>
          <w:numId w:val="6"/>
        </w:numPr>
        <w:spacing w:after="20" w:line="216"/>
      </w:pPr>
      <w:r>
        <w:rPr>
          <w:rFonts w:ascii="Calibri" w:cs="Calibri" w:eastAsia="Calibri" w:hAnsi="Calibri"/>
          <w:sz w:val="15"/>
          <w:szCs w:val="15"/>
        </w:rPr>
        <w:t xml:space="preserve">AWS Transform for mainframe introduces Reimagine capabilities and automated testing functionality — AWS News Blog, 1 December 2025. https://aws.amazon.com/blogs/aws/aws-transform-for-mainframe-introduces-reimagine-capabilities-and-automated-testing-functionality/</w:t>
      </w:r>
    </w:p>
    <w:p>
      <w:pPr>
        <w:pStyle w:val="ListParagraph"/>
        <w:numPr>
          <w:ilvl w:val="0"/>
          <w:numId w:val="6"/>
        </w:numPr>
        <w:spacing w:after="20" w:line="216"/>
      </w:pPr>
      <w:r>
        <w:rPr>
          <w:rFonts w:ascii="Calibri" w:cs="Calibri" w:eastAsia="Calibri" w:hAnsi="Calibri"/>
          <w:sz w:val="15"/>
          <w:szCs w:val="15"/>
        </w:rPr>
        <w:t xml:space="preserve">Accelerate the modernization of Mainframe and VMware workloads with AWS Transform — AWS News Blog. https://aws.amazon.com/blogs/aws/accelerate-the-modernization-of-mainframe-and-vmware-workloads-with-aws-transform/</w:t>
      </w:r>
    </w:p>
    <w:p>
      <w:pPr>
        <w:pStyle w:val="ListParagraph"/>
        <w:numPr>
          <w:ilvl w:val="0"/>
          <w:numId w:val="6"/>
        </w:numPr>
        <w:spacing w:after="20" w:line="216"/>
      </w:pPr>
      <w:r>
        <w:rPr>
          <w:rFonts w:ascii="Calibri" w:cs="Calibri" w:eastAsia="Calibri" w:hAnsi="Calibri"/>
          <w:sz w:val="15"/>
          <w:szCs w:val="15"/>
        </w:rPr>
        <w:t xml:space="preserve">Agentic AI meets PL/I: Modernizing mainframes with AWS Transform — AWS Migration &amp; Modernization Blog. https://aws.amazon.com/blogs/migration-and-modernization/agentic-ai-meets-pl-i-modernizing-mainframes-with-aws-transform/</w:t>
      </w:r>
    </w:p>
    <w:p>
      <w:pPr>
        <w:pStyle w:val="ListParagraph"/>
        <w:numPr>
          <w:ilvl w:val="0"/>
          <w:numId w:val="6"/>
        </w:numPr>
        <w:spacing w:after="20" w:line="216"/>
      </w:pPr>
      <w:r>
        <w:rPr>
          <w:rFonts w:ascii="Calibri" w:cs="Calibri" w:eastAsia="Calibri" w:hAnsi="Calibri"/>
          <w:sz w:val="15"/>
          <w:szCs w:val="15"/>
        </w:rPr>
        <w:t xml:space="preserve">AWS Transform pricing. https://aws.amazon.com/transform/pricing/</w:t>
      </w:r>
    </w:p>
    <w:p>
      <w:pPr>
        <w:pStyle w:val="ListParagraph"/>
        <w:numPr>
          <w:ilvl w:val="0"/>
          <w:numId w:val="6"/>
        </w:numPr>
        <w:spacing w:after="20" w:line="216"/>
      </w:pPr>
      <w:r>
        <w:rPr>
          <w:rFonts w:ascii="Calibri" w:cs="Calibri" w:eastAsia="Calibri" w:hAnsi="Calibri"/>
          <w:sz w:val="15"/>
          <w:szCs w:val="15"/>
        </w:rPr>
        <w:t xml:space="preserve">AWS Blu Insights is now AWS Transform for mainframe refactor — What's New, March 2026. https://aws.amazon.com/about-aws/whats-new/2026/03/aws-transform-mainframe-refactor</w:t>
      </w:r>
    </w:p>
    <w:p>
      <w:pPr>
        <w:pStyle w:val="ListParagraph"/>
        <w:numPr>
          <w:ilvl w:val="0"/>
          <w:numId w:val="6"/>
        </w:numPr>
        <w:spacing w:after="20" w:line="216"/>
      </w:pPr>
      <w:r>
        <w:rPr>
          <w:rFonts w:ascii="Calibri" w:cs="Calibri" w:eastAsia="Calibri" w:hAnsi="Calibri"/>
          <w:sz w:val="15"/>
          <w:szCs w:val="15"/>
        </w:rPr>
        <w:t xml:space="preserve">Mainframe, AS400, Open VMS and GS21 — supported languages and extensions, AWS Transform for mainframe refactor. https://bluinsights.aws/languages/mainframe-as400-and-open-vms/</w:t>
      </w:r>
    </w:p>
    <w:p>
      <w:pPr>
        <w:pStyle w:val="ListParagraph"/>
        <w:numPr>
          <w:ilvl w:val="0"/>
          <w:numId w:val="6"/>
        </w:numPr>
        <w:spacing w:after="20" w:line="216"/>
      </w:pPr>
      <w:r>
        <w:rPr>
          <w:rFonts w:ascii="Calibri" w:cs="Calibri" w:eastAsia="Calibri" w:hAnsi="Calibri"/>
          <w:sz w:val="15"/>
          <w:szCs w:val="15"/>
        </w:rPr>
        <w:t xml:space="preserve">Code transformation (generative AI) — AWS Transform for mainframe refactor. https://bluinsights.aws/docs/genai-code-transformation/</w:t>
      </w:r>
    </w:p>
    <w:p>
      <w:pPr>
        <w:pStyle w:val="ListParagraph"/>
        <w:numPr>
          <w:ilvl w:val="0"/>
          <w:numId w:val="6"/>
        </w:numPr>
        <w:spacing w:after="20" w:line="216"/>
      </w:pPr>
      <w:r>
        <w:rPr>
          <w:rFonts w:ascii="Calibri" w:cs="Calibri" w:eastAsia="Calibri" w:hAnsi="Calibri"/>
          <w:sz w:val="15"/>
          <w:szCs w:val="15"/>
        </w:rPr>
        <w:t xml:space="preserve">CTL (control cards) — AWS Transform for mainframe refactor. https://bluinsights.aws/docs/codebase-dependencies-languages-ctl/</w:t>
      </w:r>
    </w:p>
    <w:p>
      <w:pPr>
        <w:pStyle w:val="ListParagraph"/>
        <w:numPr>
          <w:ilvl w:val="0"/>
          <w:numId w:val="6"/>
        </w:numPr>
        <w:spacing w:after="20" w:line="216"/>
      </w:pPr>
      <w:r>
        <w:rPr>
          <w:rFonts w:ascii="Calibri" w:cs="Calibri" w:eastAsia="Calibri" w:hAnsi="Calibri"/>
          <w:sz w:val="15"/>
          <w:szCs w:val="15"/>
        </w:rPr>
        <w:t xml:space="preserve">Homonyms — AWS Transform for mainframe refactor. https://bluinsights.aws/docs/codebase-assets-homonyms/</w:t>
      </w:r>
    </w:p>
    <w:p>
      <w:pPr>
        <w:pStyle w:val="ListParagraph"/>
        <w:numPr>
          <w:ilvl w:val="0"/>
          <w:numId w:val="6"/>
        </w:numPr>
        <w:spacing w:after="20" w:line="216"/>
      </w:pPr>
      <w:r>
        <w:rPr>
          <w:rFonts w:ascii="Calibri" w:cs="Calibri" w:eastAsia="Calibri" w:hAnsi="Calibri"/>
          <w:sz w:val="15"/>
          <w:szCs w:val="15"/>
        </w:rPr>
        <w:t xml:space="preserve">Missing Labels (unresolved dependency taxonomy) — AWS Transform for mainframe refactor. https://bluinsights.aws/docs/dependencies-missing-labels/</w:t>
      </w:r>
    </w:p>
    <w:p>
      <w:pPr>
        <w:pStyle w:val="ListParagraph"/>
        <w:numPr>
          <w:ilvl w:val="0"/>
          <w:numId w:val="6"/>
        </w:numPr>
        <w:spacing w:after="20" w:line="216"/>
      </w:pPr>
      <w:r>
        <w:rPr>
          <w:rFonts w:ascii="Calibri" w:cs="Calibri" w:eastAsia="Calibri" w:hAnsi="Calibri"/>
          <w:sz w:val="15"/>
          <w:szCs w:val="15"/>
        </w:rPr>
        <w:t xml:space="preserve">Scheduler support summary — AWS Transform for mainframe refactor. https://bluinsights.aws/docs/codebase-dependencies-languages-mainframe-scheduler-support-summary/</w:t>
      </w:r>
    </w:p>
    <w:p>
      <w:pPr>
        <w:pStyle w:val="Heading2"/>
        <w:spacing w:after="80" w:before="190"/>
      </w:pPr>
      <w:r>
        <w:rPr>
          <w:rFonts w:ascii="Calibri" w:cs="Calibri" w:eastAsia="Calibri" w:hAnsi="Calibri"/>
          <w:b/>
          <w:bCs/>
          <w:color w:val="1F3864"/>
          <w:sz w:val="22"/>
          <w:szCs w:val="22"/>
        </w:rPr>
        <w:t xml:space="preserve">CAST — primary sources</w:t>
      </w:r>
    </w:p>
    <w:p>
      <w:pPr>
        <w:pStyle w:val="ListParagraph"/>
        <w:numPr>
          <w:ilvl w:val="0"/>
          <w:numId w:val="6"/>
        </w:numPr>
        <w:spacing w:after="20" w:line="216"/>
      </w:pPr>
      <w:r>
        <w:rPr>
          <w:rFonts w:ascii="Calibri" w:cs="Calibri" w:eastAsia="Calibri" w:hAnsi="Calibri"/>
          <w:sz w:val="15"/>
          <w:szCs w:val="15"/>
        </w:rPr>
        <w:t xml:space="preserve">Mainframe technologies covered and qualification ratings — CAST documentation. https://doc.castsoftware.com/technologies/mainframe/technos/</w:t>
      </w:r>
    </w:p>
    <w:p>
      <w:pPr>
        <w:pStyle w:val="ListParagraph"/>
        <w:numPr>
          <w:ilvl w:val="0"/>
          <w:numId w:val="6"/>
        </w:numPr>
        <w:spacing w:after="20" w:line="216"/>
      </w:pPr>
      <w:r>
        <w:rPr>
          <w:rFonts w:ascii="Calibri" w:cs="Calibri" w:eastAsia="Calibri" w:hAnsi="Calibri"/>
          <w:sz w:val="15"/>
          <w:szCs w:val="15"/>
        </w:rPr>
        <w:t xml:space="preserve">Mainframe analysis configuration, including the Inference Engine and parameterization — CAST documentation. https://doc.castsoftware.com/technologies/mainframe/analysis-config/</w:t>
      </w:r>
    </w:p>
    <w:p>
      <w:pPr>
        <w:pStyle w:val="ListParagraph"/>
        <w:numPr>
          <w:ilvl w:val="0"/>
          <w:numId w:val="6"/>
        </w:numPr>
        <w:spacing w:after="20" w:line="216"/>
      </w:pPr>
      <w:r>
        <w:rPr>
          <w:rFonts w:ascii="Calibri" w:cs="Calibri" w:eastAsia="Calibri" w:hAnsi="Calibri"/>
          <w:sz w:val="15"/>
          <w:szCs w:val="15"/>
        </w:rPr>
        <w:t xml:space="preserve">Mainframe expected input and source delivery requirements — CAST documentation. https://doc.castsoftware.com/technologies/mainframe/expected-input/</w:t>
      </w:r>
    </w:p>
    <w:p>
      <w:pPr>
        <w:pStyle w:val="ListParagraph"/>
        <w:numPr>
          <w:ilvl w:val="0"/>
          <w:numId w:val="6"/>
        </w:numPr>
        <w:spacing w:after="20" w:line="216"/>
      </w:pPr>
      <w:r>
        <w:rPr>
          <w:rFonts w:ascii="Calibri" w:cs="Calibri" w:eastAsia="Calibri" w:hAnsi="Calibri"/>
          <w:sz w:val="15"/>
          <w:szCs w:val="15"/>
        </w:rPr>
        <w:t xml:space="preserve">Mainframe qualification specifics — CAST documentation. https://doc.castsoftware.com/technologies/mainframe/qualification-specifics/</w:t>
      </w:r>
    </w:p>
    <w:p>
      <w:pPr>
        <w:pStyle w:val="ListParagraph"/>
        <w:numPr>
          <w:ilvl w:val="0"/>
          <w:numId w:val="6"/>
        </w:numPr>
        <w:spacing w:after="20" w:line="216"/>
      </w:pPr>
      <w:r>
        <w:rPr>
          <w:rFonts w:ascii="Calibri" w:cs="Calibri" w:eastAsia="Calibri" w:hAnsi="Calibri"/>
          <w:sz w:val="15"/>
          <w:szCs w:val="15"/>
        </w:rPr>
        <w:t xml:space="preserve">Mainframe Analyzer extension 2.0 — results, object and link types. https://doc.castsoftware.com/technologies/mainframe/extensions/com.castsoftware.mainframe/2.0/</w:t>
      </w:r>
    </w:p>
    <w:p>
      <w:pPr>
        <w:pStyle w:val="ListParagraph"/>
        <w:numPr>
          <w:ilvl w:val="0"/>
          <w:numId w:val="6"/>
        </w:numPr>
        <w:spacing w:after="20" w:line="216"/>
      </w:pPr>
      <w:r>
        <w:rPr>
          <w:rFonts w:ascii="Calibri" w:cs="Calibri" w:eastAsia="Calibri" w:hAnsi="Calibri"/>
          <w:sz w:val="15"/>
          <w:szCs w:val="15"/>
        </w:rPr>
        <w:t xml:space="preserve">IBM PL/I Analyzer 1.1 (Universal Analyzer caveat). https://doc.castsoftware.com/technologies/pl1/com.castsoftware.pl1/1.1/</w:t>
      </w:r>
    </w:p>
    <w:p>
      <w:pPr>
        <w:pStyle w:val="ListParagraph"/>
        <w:numPr>
          <w:ilvl w:val="0"/>
          <w:numId w:val="6"/>
        </w:numPr>
        <w:spacing w:after="20" w:line="216"/>
      </w:pPr>
      <w:r>
        <w:rPr>
          <w:rFonts w:ascii="Calibri" w:cs="Calibri" w:eastAsia="Calibri" w:hAnsi="Calibri"/>
          <w:sz w:val="15"/>
          <w:szCs w:val="15"/>
        </w:rPr>
        <w:t xml:space="preserve">z/OS Assembler Analyzer 1.0. https://doc.castsoftware.com/technologies/mainframe/extensions/com.castsoftware.asmzos/1.0/</w:t>
      </w:r>
    </w:p>
    <w:p>
      <w:pPr>
        <w:pStyle w:val="ListParagraph"/>
        <w:numPr>
          <w:ilvl w:val="0"/>
          <w:numId w:val="6"/>
        </w:numPr>
        <w:spacing w:after="20" w:line="216"/>
      </w:pPr>
      <w:r>
        <w:rPr>
          <w:rFonts w:ascii="Calibri" w:cs="Calibri" w:eastAsia="Calibri" w:hAnsi="Calibri"/>
          <w:sz w:val="15"/>
          <w:szCs w:val="15"/>
        </w:rPr>
        <w:t xml:space="preserve">REXX Analyser 1.0. https://doc.castsoftware.com/technologies/mainframe/extensions/com.castsoftware.rexx/1.0/</w:t>
      </w:r>
    </w:p>
    <w:p>
      <w:pPr>
        <w:pStyle w:val="ListParagraph"/>
        <w:numPr>
          <w:ilvl w:val="0"/>
          <w:numId w:val="6"/>
        </w:numPr>
        <w:spacing w:after="20" w:line="216"/>
      </w:pPr>
      <w:r>
        <w:rPr>
          <w:rFonts w:ascii="Calibri" w:cs="Calibri" w:eastAsia="Calibri" w:hAnsi="Calibri"/>
          <w:sz w:val="15"/>
          <w:szCs w:val="15"/>
        </w:rPr>
        <w:t xml:space="preserve">CLIST Analyzer 1.0. https://doc.castsoftware.com/technologies/mainframe/extensions/com.castsoftware.clist/1.0/</w:t>
      </w:r>
    </w:p>
    <w:p>
      <w:pPr>
        <w:pStyle w:val="ListParagraph"/>
        <w:numPr>
          <w:ilvl w:val="0"/>
          <w:numId w:val="6"/>
        </w:numPr>
        <w:spacing w:after="20" w:line="216"/>
      </w:pPr>
      <w:r>
        <w:rPr>
          <w:rFonts w:ascii="Calibri" w:cs="Calibri" w:eastAsia="Calibri" w:hAnsi="Calibri"/>
          <w:sz w:val="15"/>
          <w:szCs w:val="15"/>
        </w:rPr>
        <w:t xml:space="preserve">IMS DC support — CAST documentation. https://doc.castsoftware.com/technologies/mainframe/ims-dc/</w:t>
      </w:r>
    </w:p>
    <w:p>
      <w:pPr>
        <w:pStyle w:val="ListParagraph"/>
        <w:numPr>
          <w:ilvl w:val="0"/>
          <w:numId w:val="6"/>
        </w:numPr>
        <w:spacing w:after="20" w:line="216"/>
      </w:pPr>
      <w:r>
        <w:rPr>
          <w:rFonts w:ascii="Calibri" w:cs="Calibri" w:eastAsia="Calibri" w:hAnsi="Calibri"/>
          <w:sz w:val="15"/>
          <w:szCs w:val="15"/>
        </w:rPr>
        <w:t xml:space="preserve">Validate dynamic links (Dynamic Link Manager, Reference Patterns, Automatic Links Validator) — CAST onboarding documentation. https://doc.castsoftware.com/export-v2/onbrd/workflow-application-onboarding-with-fast-scan/application-onboarding-with-fast-scan-validate-the-results/validate-dynamic-links/</w:t>
      </w:r>
    </w:p>
    <w:p>
      <w:pPr>
        <w:pStyle w:val="ListParagraph"/>
        <w:numPr>
          <w:ilvl w:val="0"/>
          <w:numId w:val="6"/>
        </w:numPr>
        <w:spacing w:after="20" w:line="216"/>
      </w:pPr>
      <w:r>
        <w:rPr>
          <w:rFonts w:ascii="Calibri" w:cs="Calibri" w:eastAsia="Calibri" w:hAnsi="Calibri"/>
          <w:sz w:val="15"/>
          <w:szCs w:val="15"/>
        </w:rPr>
        <w:t xml:space="preserve">Avoid Too Many Copy Pasted Artifacts (rule 7156) — CAST assessment model documentation. https://doc.castsoftware.com/export-v2/tg/information-guides/information-guides-by-cast-aip-component/cms-assessment-model/cms-assessment-model-information-avoid-too-many-copy-pasted-artifacts/</w:t>
      </w:r>
    </w:p>
    <w:p>
      <w:pPr>
        <w:pStyle w:val="ListParagraph"/>
        <w:numPr>
          <w:ilvl w:val="0"/>
          <w:numId w:val="6"/>
        </w:numPr>
        <w:spacing w:after="20" w:line="216"/>
      </w:pPr>
      <w:r>
        <w:rPr>
          <w:rFonts w:ascii="Calibri" w:cs="Calibri" w:eastAsia="Calibri" w:hAnsi="Calibri"/>
          <w:sz w:val="15"/>
          <w:szCs w:val="15"/>
        </w:rPr>
        <w:t xml:space="preserve">Investigate code — CAST Imaging (call graphs, path finder, data call graph). https://doc.castsoftware.com/imaging/explore-results/investigate-code/</w:t>
      </w:r>
    </w:p>
    <w:p>
      <w:pPr>
        <w:pStyle w:val="ListParagraph"/>
        <w:numPr>
          <w:ilvl w:val="0"/>
          <w:numId w:val="6"/>
        </w:numPr>
        <w:spacing w:after="20" w:line="216"/>
      </w:pPr>
      <w:r>
        <w:rPr>
          <w:rFonts w:ascii="Calibri" w:cs="Calibri" w:eastAsia="Calibri" w:hAnsi="Calibri"/>
          <w:sz w:val="15"/>
          <w:szCs w:val="15"/>
        </w:rPr>
        <w:t xml:space="preserve">Assess modernization: mainframe — CAST Imaging. https://doc.castsoftware.com/imaging/explore-results/assess-modernization/mainframe/</w:t>
      </w:r>
    </w:p>
    <w:p>
      <w:pPr>
        <w:pStyle w:val="ListParagraph"/>
        <w:numPr>
          <w:ilvl w:val="0"/>
          <w:numId w:val="6"/>
        </w:numPr>
        <w:spacing w:after="20" w:line="216"/>
      </w:pPr>
      <w:r>
        <w:rPr>
          <w:rFonts w:ascii="Calibri" w:cs="Calibri" w:eastAsia="Calibri" w:hAnsi="Calibri"/>
          <w:sz w:val="15"/>
          <w:szCs w:val="15"/>
        </w:rPr>
        <w:t xml:space="preserve">Export and view options (supported export formats) — CAST Imaging user guide. https://doc.castsoftware.com/export-v2/imaging/cast-imaging-user-guide/user-guide-export-view-options/</w:t>
      </w:r>
    </w:p>
    <w:p>
      <w:pPr>
        <w:pStyle w:val="ListParagraph"/>
        <w:numPr>
          <w:ilvl w:val="0"/>
          <w:numId w:val="6"/>
        </w:numPr>
        <w:spacing w:after="20" w:line="216"/>
      </w:pPr>
      <w:r>
        <w:rPr>
          <w:rFonts w:ascii="Calibri" w:cs="Calibri" w:eastAsia="Calibri" w:hAnsi="Calibri"/>
          <w:sz w:val="15"/>
          <w:szCs w:val="15"/>
        </w:rPr>
        <w:t xml:space="preserve">CAST Imaging API. https://doc.castsoftware.com/imaging/imaging-api/</w:t>
      </w:r>
    </w:p>
    <w:p>
      <w:pPr>
        <w:pStyle w:val="ListParagraph"/>
        <w:numPr>
          <w:ilvl w:val="0"/>
          <w:numId w:val="6"/>
        </w:numPr>
        <w:spacing w:after="20" w:line="216"/>
      </w:pPr>
      <w:r>
        <w:rPr>
          <w:rFonts w:ascii="Calibri" w:cs="Calibri" w:eastAsia="Calibri" w:hAnsi="Calibri"/>
          <w:sz w:val="15"/>
          <w:szCs w:val="15"/>
        </w:rPr>
        <w:t xml:space="preserve">MCP Server for CAST Imaging, including data-egress FAQ. https://doc.castsoftware.com/mcp-server/</w:t>
      </w:r>
    </w:p>
    <w:p>
      <w:pPr>
        <w:pStyle w:val="ListParagraph"/>
        <w:numPr>
          <w:ilvl w:val="0"/>
          <w:numId w:val="6"/>
        </w:numPr>
        <w:spacing w:after="20" w:line="216"/>
      </w:pPr>
      <w:r>
        <w:rPr>
          <w:rFonts w:ascii="Calibri" w:cs="Calibri" w:eastAsia="Calibri" w:hAnsi="Calibri"/>
          <w:sz w:val="15"/>
          <w:szCs w:val="15"/>
        </w:rPr>
        <w:t xml:space="preserve">Use AI assistance — CAST Imaging (optional AI features, administrator gating). https://doc.castsoftware.com/imaging/explore-results/use-ai-assistance/</w:t>
      </w:r>
    </w:p>
    <w:p>
      <w:pPr>
        <w:pStyle w:val="ListParagraph"/>
        <w:numPr>
          <w:ilvl w:val="0"/>
          <w:numId w:val="6"/>
        </w:numPr>
        <w:spacing w:after="20" w:line="216"/>
      </w:pPr>
      <w:r>
        <w:rPr>
          <w:rFonts w:ascii="Calibri" w:cs="Calibri" w:eastAsia="Calibri" w:hAnsi="Calibri"/>
          <w:sz w:val="15"/>
          <w:szCs w:val="15"/>
        </w:rPr>
        <w:t xml:space="preserve">AI settings and supported providers — CAST Imaging administration. https://doc.castsoftware.com/imaging/administer/system-settings/ai-settings/</w:t>
      </w:r>
    </w:p>
    <w:p>
      <w:pPr>
        <w:pStyle w:val="ListParagraph"/>
        <w:numPr>
          <w:ilvl w:val="0"/>
          <w:numId w:val="6"/>
        </w:numPr>
        <w:spacing w:after="20" w:line="216"/>
      </w:pPr>
      <w:r>
        <w:rPr>
          <w:rFonts w:ascii="Calibri" w:cs="Calibri" w:eastAsia="Calibri" w:hAnsi="Calibri"/>
          <w:sz w:val="15"/>
          <w:szCs w:val="15"/>
        </w:rPr>
        <w:t xml:space="preserve">Install CAST Imaging (deployment models, Extend Local Server). https://doc.castsoftware.com/imaging/install/</w:t>
      </w:r>
    </w:p>
    <w:p>
      <w:pPr>
        <w:pStyle w:val="ListParagraph"/>
        <w:numPr>
          <w:ilvl w:val="0"/>
          <w:numId w:val="6"/>
        </w:numPr>
        <w:spacing w:after="20" w:line="216"/>
      </w:pPr>
      <w:r>
        <w:rPr>
          <w:rFonts w:ascii="Calibri" w:cs="Calibri" w:eastAsia="Calibri" w:hAnsi="Calibri"/>
          <w:sz w:val="15"/>
          <w:szCs w:val="15"/>
        </w:rPr>
        <w:t xml:space="preserve">CAST Imaging Express security and data residency. https://doc.castsoftware.com/imagingexpress/legal/security/</w:t>
      </w:r>
    </w:p>
    <w:p>
      <w:pPr>
        <w:pStyle w:val="ListParagraph"/>
        <w:numPr>
          <w:ilvl w:val="0"/>
          <w:numId w:val="6"/>
        </w:numPr>
        <w:spacing w:after="20" w:line="216"/>
      </w:pPr>
      <w:r>
        <w:rPr>
          <w:rFonts w:ascii="Calibri" w:cs="Calibri" w:eastAsia="Calibri" w:hAnsi="Calibri"/>
          <w:sz w:val="15"/>
          <w:szCs w:val="15"/>
        </w:rPr>
        <w:t xml:space="preserve">CAST Imaging pricing. https://www.castsoftware.com/imaging/pricing</w:t>
      </w:r>
    </w:p>
    <w:p>
      <w:pPr>
        <w:pStyle w:val="ListParagraph"/>
        <w:numPr>
          <w:ilvl w:val="0"/>
          <w:numId w:val="6"/>
        </w:numPr>
        <w:spacing w:after="20" w:line="216"/>
      </w:pPr>
      <w:r>
        <w:rPr>
          <w:rFonts w:ascii="Calibri" w:cs="Calibri" w:eastAsia="Calibri" w:hAnsi="Calibri"/>
          <w:sz w:val="15"/>
          <w:szCs w:val="15"/>
        </w:rPr>
        <w:t xml:space="preserve">CAST Imaging capabilities. https://www.castsoftware.com/imaging/capabilities</w:t>
      </w:r>
    </w:p>
    <w:p>
      <w:pPr>
        <w:pStyle w:val="ListParagraph"/>
        <w:numPr>
          <w:ilvl w:val="0"/>
          <w:numId w:val="6"/>
        </w:numPr>
        <w:spacing w:after="20" w:line="216"/>
      </w:pPr>
      <w:r>
        <w:rPr>
          <w:rFonts w:ascii="Calibri" w:cs="Calibri" w:eastAsia="Calibri" w:hAnsi="Calibri"/>
          <w:sz w:val="15"/>
          <w:szCs w:val="15"/>
        </w:rPr>
        <w:t xml:space="preserve">Application onboarding process (agile, three-iteration method) — CAST documentation. https://doc.castsoftware.com/export-v2/fbp/onboarding-applications-with-imaging-and-highlight/application-onboarding-process-with-aip-console/</w:t>
      </w:r>
    </w:p>
    <w:p>
      <w:pPr>
        <w:pStyle w:val="ListParagraph"/>
        <w:numPr>
          <w:ilvl w:val="0"/>
          <w:numId w:val="6"/>
        </w:numPr>
        <w:spacing w:after="20" w:line="216"/>
      </w:pPr>
      <w:r>
        <w:rPr>
          <w:rFonts w:ascii="Calibri" w:cs="Calibri" w:eastAsia="Calibri" w:hAnsi="Calibri"/>
          <w:sz w:val="15"/>
          <w:szCs w:val="15"/>
        </w:rPr>
        <w:t xml:space="preserve">Transaction Configuration Center — CAST documentation. https://doc.castsoftware.com/export/AIPCORE/TCC+-+What+is+the+CAST+Transaction+Configuration+Center</w:t>
      </w:r>
    </w:p>
    <w:p>
      <w:pPr>
        <w:pStyle w:val="ListParagraph"/>
        <w:numPr>
          <w:ilvl w:val="0"/>
          <w:numId w:val="6"/>
        </w:numPr>
        <w:spacing w:after="20" w:line="216"/>
      </w:pPr>
      <w:r>
        <w:rPr>
          <w:rFonts w:ascii="Calibri" w:cs="Calibri" w:eastAsia="Calibri" w:hAnsi="Calibri"/>
          <w:sz w:val="15"/>
          <w:szCs w:val="15"/>
        </w:rPr>
        <w:t xml:space="preserve">CAST Highlight software health indicators and methodology. https://doc.casthighlight.com/indicators-methodology/</w:t>
      </w:r>
    </w:p>
    <w:p>
      <w:pPr>
        <w:pStyle w:val="Heading1"/>
        <w:spacing w:after="110" w:before="260"/>
      </w:pPr>
      <w:r>
        <w:rPr>
          <w:rFonts w:ascii="Calibri" w:cs="Calibri" w:eastAsia="Calibri" w:hAnsi="Calibri"/>
          <w:b/>
          <w:bCs/>
          <w:color w:val="1F3864"/>
          <w:sz w:val="27"/>
          <w:szCs w:val="27"/>
        </w:rPr>
        <w:t xml:space="preserve">Appendix A. Register of unverified claims</w:t>
      </w:r>
    </w:p>
    <w:p>
      <w:pPr>
        <w:spacing w:after="90" w:line="240"/>
        <w:jc w:val="left"/>
      </w:pPr>
      <w:r>
        <w:rPr>
          <w:rFonts w:ascii="Calibri" w:cs="Calibri" w:eastAsia="Calibri" w:hAnsi="Calibri"/>
          <w:b w:val="false"/>
          <w:bCs w:val="false"/>
          <w:i w:val="false"/>
          <w:iCs w:val="false"/>
          <w:color w:val="000000"/>
          <w:sz w:val="20"/>
          <w:szCs w:val="20"/>
        </w:rPr>
        <w:t xml:space="preserve">Items below could not be confirmed from a vendor primary source on 14 August 2026. They are recorded rather than inferred. Each is a candidate question for the vendors, and several are candidates for a proof of concept.</w:t>
      </w:r>
    </w:p>
    <w:tbl>
      <w:tblPr>
        <w:tblW w:type="dxa" w:w="9360"/>
        <w:tblBorders>
          <w:top w:val="single" w:color="AEBAC9" w:sz="4"/>
          <w:left w:val="single" w:color="AEBAC9" w:sz="4"/>
          <w:bottom w:val="single" w:color="AEBAC9" w:sz="4"/>
          <w:right w:val="single" w:color="AEBAC9" w:sz="4"/>
          <w:insideH w:val="single" w:color="C9D2DD" w:sz="2"/>
          <w:insideV w:val="single" w:color="C9D2DD" w:sz="2"/>
        </w:tblBorders>
      </w:tblPr>
      <w:tblGrid>
        <w:gridCol w:w="3400"/>
        <w:gridCol w:w="1600"/>
        <w:gridCol w:w="4360"/>
      </w:tblGrid>
      <w:tr>
        <w:trPr>
          <w:cantSplit/>
          <w:tblHeader/>
        </w:trPr>
        <w:tc>
          <w:tcPr>
            <w:tcW w:type="dxa" w:w="3400"/>
            <w:shd w:fill="1F3864" w:color="auto" w:val="clear"/>
            <w:tcMar>
              <w:top w:type="dxa" w:w="40"/>
              <w:left w:type="dxa" w:w="80"/>
              <w:bottom w:type="dxa" w:w="40"/>
              <w:right w:type="dxa" w:w="80"/>
            </w:tcMar>
            <w:vAlign w:val="center"/>
          </w:tcPr>
          <w:p>
            <w:pPr>
              <w:spacing w:after="16" w:before="16" w:line="210"/>
              <w:jc w:val="left"/>
            </w:pPr>
            <w:r>
              <w:rPr>
                <w:rFonts w:ascii="Calibri" w:cs="Calibri" w:eastAsia="Calibri" w:hAnsi="Calibri"/>
                <w:b/>
                <w:bCs/>
                <w:i w:val="false"/>
                <w:iCs w:val="false"/>
                <w:color w:val="FFFFFF"/>
                <w:sz w:val="16"/>
                <w:szCs w:val="16"/>
              </w:rPr>
              <w:t xml:space="preserve">Claim or question</w:t>
            </w:r>
          </w:p>
        </w:tc>
        <w:tc>
          <w:tcPr>
            <w:tcW w:type="dxa" w:w="1600"/>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Applies to</w:t>
            </w:r>
          </w:p>
        </w:tc>
        <w:tc>
          <w:tcPr>
            <w:tcW w:type="dxa" w:w="4360"/>
            <w:shd w:fill="1F3864" w:color="auto" w:val="clear"/>
            <w:tcMar>
              <w:top w:type="dxa" w:w="40"/>
              <w:left w:type="dxa" w:w="80"/>
              <w:bottom w:type="dxa" w:w="40"/>
              <w:right w:type="dxa" w:w="80"/>
            </w:tcMar>
            <w:vAlign w:val="center"/>
          </w:tcPr>
          <w:p>
            <w:pPr>
              <w:spacing w:after="16" w:before="16" w:line="210"/>
              <w:jc w:val="center"/>
            </w:pPr>
            <w:r>
              <w:rPr>
                <w:rFonts w:ascii="Calibri" w:cs="Calibri" w:eastAsia="Calibri" w:hAnsi="Calibri"/>
                <w:b/>
                <w:bCs/>
                <w:i w:val="false"/>
                <w:iCs w:val="false"/>
                <w:color w:val="FFFFFF"/>
                <w:sz w:val="16"/>
                <w:szCs w:val="16"/>
              </w:rPr>
              <w:t xml:space="preserve">Status and how to close it</w:t>
            </w:r>
          </w:p>
        </w:tc>
      </w:tr>
      <w:tr>
        <w:trPr>
          <w:cantSplit/>
        </w:trPr>
        <w:tc>
          <w:tcPr>
            <w:tcW w:type="dxa" w:w="3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Whether any mechanism exists to resolve dynamic CALL targets determined at run time</w:t>
            </w:r>
          </w:p>
        </w:tc>
        <w:tc>
          <w:tcPr>
            <w:tcW w:type="dxa" w:w="1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AWS Transform</w:t>
            </w:r>
          </w:p>
        </w:tc>
        <w:tc>
          <w:tcPr>
            <w:tcW w:type="dxa" w:w="4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UNVERIFIED. No documented mechanism found. Close by direct question to AWS and by a pilot on a real dispatcher program from the estate.</w:t>
            </w:r>
          </w:p>
        </w:tc>
      </w:tr>
      <w:tr>
        <w:trPr>
          <w:cantSplit/>
        </w:trPr>
        <w:tc>
          <w:tcPr>
            <w:tcW w:type="dxa" w:w="3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Whether DFSORT control-card field semantics (INCLUDE, OMIT, INREC, OUTREC) are interpreted as logic</w:t>
            </w:r>
          </w:p>
        </w:tc>
        <w:tc>
          <w:tcPr>
            <w:tcW w:type="dxa" w:w="1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Both</w:t>
            </w:r>
          </w:p>
        </w:tc>
        <w:tc>
          <w:tcPr>
            <w:tcW w:type="dxa" w:w="4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UNVERIFIED for both. Control cards are ingested and linked by both; semantic interpretation is not documented by either. Close by pilot on a sort-heavy job stream.</w:t>
            </w:r>
          </w:p>
        </w:tc>
      </w:tr>
      <w:tr>
        <w:trPr>
          <w:cantSplit/>
        </w:trPr>
        <w:tc>
          <w:tcPr>
            <w:tcW w:type="dxa" w:w="3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Whether copy-paste rule 7156 still executes in CAST Imaging v3</w:t>
            </w:r>
          </w:p>
        </w:tc>
        <w:tc>
          <w:tcPr>
            <w:tcW w:type="dxa" w:w="1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Imaging</w:t>
            </w:r>
          </w:p>
        </w:tc>
        <w:tc>
          <w:tcPr>
            <w:tcW w:type="dxa" w:w="4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UNVERIFIED. Documentation reachable only against AIP 8.2.x/8.3.x; rule absent from the current published COBOL rule set. Close by direct question to CAST.</w:t>
            </w:r>
          </w:p>
        </w:tc>
      </w:tr>
      <w:tr>
        <w:trPr>
          <w:cantSplit/>
        </w:trPr>
        <w:tc>
          <w:tcPr>
            <w:tcW w:type="dxa" w:w="3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What the Mainframe Analyzer produces from IMS MFS source</w:t>
            </w:r>
          </w:p>
        </w:tc>
        <w:tc>
          <w:tcPr>
            <w:tcW w:type="dxa" w:w="1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Imaging</w:t>
            </w:r>
          </w:p>
        </w:tc>
        <w:tc>
          <w:tcPr>
            <w:tcW w:type="dxa" w:w="4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UNVERIFIED. Delivery guidance requests .mfs files but no MFS object or link type appears in the documented results catalogue.</w:t>
            </w:r>
          </w:p>
        </w:tc>
      </w:tr>
      <w:tr>
        <w:trPr>
          <w:cantSplit/>
        </w:trPr>
        <w:tc>
          <w:tcPr>
            <w:tcW w:type="dxa" w:w="3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Named support for variable-name EXEC CICS LINK / XCTL resolution</w:t>
            </w:r>
          </w:p>
        </w:tc>
        <w:tc>
          <w:tcPr>
            <w:tcW w:type="dxa" w:w="1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Imaging</w:t>
            </w:r>
          </w:p>
        </w:tc>
        <w:tc>
          <w:tcPr>
            <w:tcW w:type="dxa" w:w="4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PARTIALLY UNVERIFIED. Falls under the general dynamic CALL rule; no dedicated documentation.</w:t>
            </w:r>
          </w:p>
        </w:tc>
      </w:tr>
      <w:tr>
        <w:trPr>
          <w:cantSplit/>
        </w:trPr>
        <w:tc>
          <w:tcPr>
            <w:tcW w:type="dxa" w:w="3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Depth of Natural analysis and any transformation path</w:t>
            </w:r>
          </w:p>
        </w:tc>
        <w:tc>
          <w:tcPr>
            <w:tcW w:type="dxa" w:w="1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AWS Transform</w:t>
            </w:r>
          </w:p>
        </w:tc>
        <w:tc>
          <w:tcPr>
            <w:tcW w:type="dxa" w:w="4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UNVERIFIED. Natural is listed as an ingestible source type; no analysis depth or transformation target is documented. CAST has no Natural analyser at all.</w:t>
            </w:r>
          </w:p>
        </w:tc>
      </w:tr>
      <w:tr>
        <w:trPr>
          <w:cantSplit/>
        </w:trPr>
        <w:tc>
          <w:tcPr>
            <w:tcW w:type="dxa" w:w="3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CLIST coverage in the agentic AWS Transform service</w:t>
            </w:r>
          </w:p>
        </w:tc>
        <w:tc>
          <w:tcPr>
            <w:tcW w:type="dxa" w:w="1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AWS Transform</w:t>
            </w:r>
          </w:p>
        </w:tc>
        <w:tc>
          <w:tcPr>
            <w:tcW w:type="dxa" w:w="4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UNVERIFIED. Present in the refactor tooling's classification list; not in the agentic service's documented file types.</w:t>
            </w:r>
          </w:p>
        </w:tc>
      </w:tr>
      <w:tr>
        <w:trPr>
          <w:cantSplit/>
        </w:trPr>
        <w:tc>
          <w:tcPr>
            <w:tcW w:type="dxa" w:w="3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COBOL dialect handling — whether VS COBOL II constructs are handled differently from Enterprise COBOL</w:t>
            </w:r>
          </w:p>
        </w:tc>
        <w:tc>
          <w:tcPr>
            <w:tcW w:type="dxa" w:w="1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AWS Transform</w:t>
            </w:r>
          </w:p>
        </w:tc>
        <w:tc>
          <w:tcPr>
            <w:tcW w:type="dxa" w:w="4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UNVERIFIED. CAST publishes per-dialect ratings; AWS does not.</w:t>
            </w:r>
          </w:p>
        </w:tc>
      </w:tr>
      <w:tr>
        <w:trPr>
          <w:cantSplit/>
        </w:trPr>
        <w:tc>
          <w:tcPr>
            <w:tcW w:type="dxa" w:w="3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PROC override resolution into an effective parameter set</w:t>
            </w:r>
          </w:p>
        </w:tc>
        <w:tc>
          <w:tcPr>
            <w:tcW w:type="dxa" w:w="1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Both</w:t>
            </w:r>
          </w:p>
        </w:tc>
        <w:tc>
          <w:tcPr>
            <w:tcW w:type="dxa" w:w="4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UNVERIFIED for both. Not documented by either vendor.</w:t>
            </w:r>
          </w:p>
        </w:tc>
      </w:tr>
      <w:tr>
        <w:trPr>
          <w:cantSplit/>
        </w:trPr>
        <w:tc>
          <w:tcPr>
            <w:tcW w:type="dxa" w:w="3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Typical onboarding duration for a mainframe application</w:t>
            </w:r>
          </w:p>
        </w:tc>
        <w:tc>
          <w:tcPr>
            <w:tcW w:type="dxa" w:w="1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Both</w:t>
            </w:r>
          </w:p>
        </w:tc>
        <w:tc>
          <w:tcPr>
            <w:tcW w:type="dxa" w:w="4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UNVERIFIED for both. Neither vendor publishes days or weeks. Do not quote a figure; derive one from the pilot.</w:t>
            </w:r>
          </w:p>
        </w:tc>
      </w:tr>
      <w:tr>
        <w:trPr>
          <w:cantSplit/>
        </w:trPr>
        <w:tc>
          <w:tcPr>
            <w:tcW w:type="dxa" w:w="3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Support for Microsoft Entra ID as an identity target</w:t>
            </w:r>
          </w:p>
        </w:tc>
        <w:tc>
          <w:tcPr>
            <w:tcW w:type="dxa" w:w="1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AWS Transform runtime</w:t>
            </w:r>
          </w:p>
        </w:tc>
        <w:tc>
          <w:tcPr>
            <w:tcW w:type="dxa" w:w="4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UNVERIFIED. Documentation names Amazon Cognito and Keycloak for OAuth2. Treat identity migration as a separate workstream.</w:t>
            </w:r>
          </w:p>
        </w:tc>
      </w:tr>
      <w:tr>
        <w:trPr>
          <w:cantSplit/>
        </w:trPr>
        <w:tc>
          <w:tcPr>
            <w:tcW w:type="dxa" w:w="3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Imaging pricing above 4 million lines per application, and portfolio pricing across 142 applications</w:t>
            </w:r>
          </w:p>
        </w:tc>
        <w:tc>
          <w:tcPr>
            <w:tcW w:type="dxa" w:w="1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CAST Imaging</w:t>
            </w:r>
          </w:p>
        </w:tc>
        <w:tc>
          <w:tcPr>
            <w:tcW w:type="dxa" w:w="4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Not public — "contact CAST". Must be quoted.</w:t>
            </w:r>
          </w:p>
        </w:tc>
      </w:tr>
      <w:tr>
        <w:trPr>
          <w:cantSplit/>
        </w:trPr>
        <w:tc>
          <w:tcPr>
            <w:tcW w:type="dxa" w:w="34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Whether every refactor-tooling feature (Homonyms, Duplicated IDs, scheduler dependency analysis) is surfaced in the agentic AWS Transform console</w:t>
            </w:r>
          </w:p>
        </w:tc>
        <w:tc>
          <w:tcPr>
            <w:tcW w:type="dxa" w:w="160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AWS Transform</w:t>
            </w:r>
          </w:p>
        </w:tc>
        <w:tc>
          <w:tcPr>
            <w:tcW w:type="dxa" w:w="4360"/>
            <w:tcMar>
              <w:top w:type="dxa" w:w="40"/>
              <w:left w:type="dxa" w:w="80"/>
              <w:bottom w:type="dxa" w:w="40"/>
              <w:right w:type="dxa" w:w="80"/>
            </w:tcMar>
            <w:vAlign w:val="center"/>
          </w:tcPr>
          <w:p>
            <w:pPr>
              <w:spacing w:after="16" w:before="16" w:line="210"/>
              <w:jc w:val="left"/>
            </w:pPr>
            <w:r>
              <w:rPr>
                <w:rFonts w:ascii="Calibri" w:cs="Calibri" w:eastAsia="Calibri" w:hAnsi="Calibri"/>
                <w:b w:val="false"/>
                <w:bCs w:val="false"/>
                <w:i w:val="false"/>
                <w:iCs w:val="false"/>
                <w:color w:val="000000"/>
                <w:sz w:val="16"/>
                <w:szCs w:val="16"/>
              </w:rPr>
              <w:t xml:space="preserve">UNVERIFIED. The two documentation sets are separate and their coverage lists differ. Close by demonstration.</w:t>
            </w:r>
          </w:p>
        </w:tc>
      </w:tr>
    </w:tbl>
    <w:p>
      <w:pPr>
        <w:spacing w:before="400"/>
      </w:pPr>
      <w:r>
        <w:rPr>
          <w:rFonts w:ascii="Calibri" w:cs="Calibri" w:eastAsia="Calibri" w:hAnsi="Calibri"/>
          <w:i/>
          <w:iCs/>
          <w:color w:val="595959"/>
          <w:sz w:val="20"/>
          <w:szCs w:val="20"/>
        </w:rPr>
        <w:t xml:space="preserve">End of document.</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D" w:sz="4"/>
      </w:pBdr>
      <w:spacing w:after="60"/>
    </w:pPr>
    <w:r>
      <w:rPr>
        <w:rFonts w:ascii="Calibri" w:cs="Calibri" w:eastAsia="Calibri" w:hAnsi="Calibri"/>
        <w:color w:val="595959"/>
        <w:sz w:val="16"/>
        <w:szCs w:val="16"/>
      </w:rPr>
      <w:t xml:space="preserve">Reverse-Engineering Tooling Assessment — CAST Imaging and AWS Transform</w:t>
    </w:r>
    <w:r>
      <w:rPr>
        <w:sz w:val="16"/>
        <w:szCs w:val="16"/>
      </w:rPr>
      <w:ptab w:alignment="right" w:relativeTo="margin" w:leader="none"/>
    </w:r>
    <w:r>
      <w:rPr>
        <w:rFonts w:ascii="Calibri" w:cs="Calibri" w:eastAsia="Calibri" w:hAnsi="Calibri"/>
        <w:color w:val="595959"/>
        <w:sz w:val="16"/>
        <w:szCs w:val="16"/>
      </w:rPr>
      <w:t xml:space="preserve">Research date 14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60" w:hanging="340"/>
      </w:pPr>
    </w:lvl>
  </w:abstractNum>
  <w:abstractNum w:abstractNumId="4" w15:restartNumberingAfterBreak="0">
    <w:multiLevelType w:val="hybridMultilevel"/>
    <w:lvl w:ilvl="0" w15:tentative="1">
      <w:start w:val="1"/>
      <w:numFmt w:val="decimal"/>
      <w:lvlText w:val="%1."/>
      <w:lvlJc w:val="left"/>
      <w:pPr>
        <w:ind w:left="460" w:hanging="340"/>
      </w:pPr>
    </w:lvl>
  </w:abstractNum>
  <w:abstractNum w:abstractNumId="5" w15:restartNumberingAfterBreak="0">
    <w:multiLevelType w:val="hybridMultilevel"/>
    <w:lvl w:ilvl="0" w15:tentative="1">
      <w:start w:val="1"/>
      <w:numFmt w:val="decimal"/>
      <w:lvlText w:val="%1."/>
      <w:lvlJc w:val="left"/>
      <w:pPr>
        <w:ind w:left="460" w:hanging="340"/>
      </w:pPr>
    </w:lvl>
  </w:abstractNum>
  <w:abstractNum w:abstractNumId="6" w15:restartNumberingAfterBreak="0">
    <w:multiLevelType w:val="hybridMultilevel"/>
    <w:lvl w:ilvl="0" w15:tentative="1">
      <w:start w:val="1"/>
      <w:numFmt w:val="decimal"/>
      <w:lvlText w:val="[%1]"/>
      <w:lvlJc w:val="left"/>
      <w:pPr>
        <w:ind w:left="560" w:hanging="4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Reverse-Engineering Tooling Assessment — CAST Imaging and AWS Transform</dc:title>
  <dc:creator>Radiant Digital</dc:creator>
  <dc:description>Evidence-based side-by-side assessment for a 142-application z/OS estate exit to AWS.</dc:description>
  <cp:lastModifiedBy>Un-named</cp:lastModifiedBy>
  <cp:revision>1</cp:revision>
  <dcterms:created xsi:type="dcterms:W3CDTF">2026-08-14T19:14:22.837Z</dcterms:created>
  <dcterms:modified xsi:type="dcterms:W3CDTF">2026-08-14T19:14:22.837Z</dcterms:modified>
</cp:coreProperties>
</file>

<file path=docProps/custom.xml><?xml version="1.0" encoding="utf-8"?>
<Properties xmlns="http://schemas.openxmlformats.org/officeDocument/2006/custom-properties" xmlns:vt="http://schemas.openxmlformats.org/officeDocument/2006/docPropsVTypes"/>
</file>