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2E4F"/>
          <w:sz w:val="32"/>
          <w:szCs w:val="32"/>
        </w:rPr>
        <w:t xml:space="preserve">TARGET-STATE IMPLEMENTATION LANGUAGE RECOMMENDATION</w:t>
      </w:r>
    </w:p>
    <w:p>
      <w:pPr>
        <w:pBdr>
          <w:bottom w:val="single" w:color="0B2E4F" w:sz="12" w:space="6"/>
        </w:pBdr>
        <w:spacing w:after="200"/>
      </w:pPr>
      <w:r>
        <w:rPr>
          <w:color w:val="33475B"/>
          <w:sz w:val="24"/>
          <w:szCs w:val="24"/>
        </w:rPr>
        <w:t xml:space="preserve">Wholesale Carrier Access Billing (CABS)  |  IBM z/OS to AWS, 2027–2029</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1500"/>
        <w:gridCol w:w="3180"/>
        <w:gridCol w:w="1500"/>
        <w:gridCol w:w="3180"/>
      </w:tblGrid>
      <w:tr>
        <w:trPr>
          <w:tblHeader/>
        </w:trPr>
        <w:tc>
          <w:tcPr>
            <w:tcW w:type="dxa" w:w="15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Field</w:t>
            </w:r>
          </w:p>
        </w:tc>
        <w:tc>
          <w:tcPr>
            <w:tcW w:type="dxa" w:w="318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Value</w:t>
            </w:r>
          </w:p>
        </w:tc>
        <w:tc>
          <w:tcPr>
            <w:tcW w:type="dxa" w:w="15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Field</w:t>
            </w:r>
          </w:p>
        </w:tc>
        <w:tc>
          <w:tcPr>
            <w:tcW w:type="dxa" w:w="318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Value</w:t>
            </w:r>
          </w:p>
        </w:tc>
      </w:tr>
      <w:tr>
        <w:tc>
          <w:tcPr>
            <w:tcW w:type="dxa" w:w="1500"/>
            <w:tcMar>
              <w:top w:type="dxa" w:w="74"/>
              <w:left w:type="dxa" w:w="120"/>
              <w:bottom w:type="dxa" w:w="74"/>
              <w:right w:type="dxa" w:w="120"/>
            </w:tcMar>
            <w:vAlign w:val="center"/>
          </w:tcPr>
          <w:p>
            <w:pPr>
              <w:spacing w:after="0" w:line="250"/>
              <w:jc w:val="left"/>
            </w:pPr>
            <w:r>
              <w:rPr>
                <w:b/>
                <w:bCs/>
                <w:color w:val="1A1A1A"/>
                <w:sz w:val="17"/>
                <w:szCs w:val="17"/>
              </w:rPr>
              <w:t xml:space="preserve">Prepared for</w:t>
            </w:r>
          </w:p>
        </w:tc>
        <w:tc>
          <w:tcPr>
            <w:tcW w:type="dxa" w:w="3180"/>
            <w:tcMar>
              <w:top w:type="dxa" w:w="74"/>
              <w:left w:type="dxa" w:w="120"/>
              <w:bottom w:type="dxa" w:w="74"/>
              <w:right w:type="dxa" w:w="120"/>
            </w:tcMar>
            <w:vAlign w:val="center"/>
          </w:tcPr>
          <w:p>
            <w:pPr>
              <w:spacing w:after="0" w:line="250"/>
              <w:jc w:val="left"/>
            </w:pPr>
            <w:r>
              <w:rPr>
                <w:color w:val="1A1A1A"/>
                <w:sz w:val="17"/>
                <w:szCs w:val="17"/>
              </w:rPr>
              <w:t xml:space="preserve">Client Architecture Review Board</w:t>
            </w:r>
          </w:p>
        </w:tc>
        <w:tc>
          <w:tcPr>
            <w:tcW w:type="dxa" w:w="1500"/>
            <w:tcMar>
              <w:top w:type="dxa" w:w="74"/>
              <w:left w:type="dxa" w:w="120"/>
              <w:bottom w:type="dxa" w:w="74"/>
              <w:right w:type="dxa" w:w="120"/>
            </w:tcMar>
            <w:vAlign w:val="center"/>
          </w:tcPr>
          <w:p>
            <w:pPr>
              <w:spacing w:after="0" w:line="250"/>
              <w:jc w:val="left"/>
            </w:pPr>
            <w:r>
              <w:rPr>
                <w:b/>
                <w:bCs/>
                <w:color w:val="1A1A1A"/>
                <w:sz w:val="17"/>
                <w:szCs w:val="17"/>
              </w:rPr>
              <w:t xml:space="preserve">Version / date</w:t>
            </w:r>
          </w:p>
        </w:tc>
        <w:tc>
          <w:tcPr>
            <w:tcW w:type="dxa" w:w="3180"/>
            <w:tcMar>
              <w:top w:type="dxa" w:w="74"/>
              <w:left w:type="dxa" w:w="120"/>
              <w:bottom w:type="dxa" w:w="74"/>
              <w:right w:type="dxa" w:w="120"/>
            </w:tcMar>
            <w:vAlign w:val="center"/>
          </w:tcPr>
          <w:p>
            <w:pPr>
              <w:spacing w:after="0" w:line="250"/>
              <w:jc w:val="left"/>
            </w:pPr>
            <w:r>
              <w:rPr>
                <w:color w:val="1A1A1A"/>
                <w:sz w:val="17"/>
                <w:szCs w:val="17"/>
              </w:rPr>
              <w:t xml:space="preserve">1.0  |  15 August 2026</w:t>
            </w:r>
          </w:p>
        </w:tc>
      </w:tr>
      <w:tr>
        <w:tc>
          <w:tcPr>
            <w:tcW w:type="dxa" w:w="15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Workload</w:t>
            </w:r>
          </w:p>
        </w:tc>
        <w:tc>
          <w:tcPr>
            <w:tcW w:type="dxa" w:w="318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Wholesale Carrier Access Billing (CABS)</w:t>
            </w:r>
          </w:p>
        </w:tc>
        <w:tc>
          <w:tcPr>
            <w:tcW w:type="dxa" w:w="15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Status</w:t>
            </w:r>
          </w:p>
        </w:tc>
        <w:tc>
          <w:tcPr>
            <w:tcW w:type="dxa" w:w="318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For decision — Confidential</w:t>
            </w:r>
          </w:p>
        </w:tc>
      </w:tr>
    </w:tbl>
    <w:p>
      <w:pPr>
        <w:spacing w:after="240" w:before="0" w:line="264"/>
      </w:pPr>
      <w:r>
        <w:rPr>
          <w:color w:val="1A1A1A"/>
          <w:sz w:val="21"/>
          <w:szCs w:val="21"/>
        </w:rPr>
        <w:t xml:space="preserve"/>
      </w:r>
    </w:p>
    <w:p>
      <w:pPr>
        <w:pStyle w:val="Heading1"/>
        <w:spacing w:after="130" w:before="280"/>
      </w:pPr>
      <w:r>
        <w:rPr>
          <w:b/>
          <w:bCs/>
          <w:color w:val="0B2E4F"/>
          <w:sz w:val="28"/>
          <w:szCs w:val="28"/>
        </w:rPr>
        <w:t xml:space="preserve">1.  Executive Summary</w:t>
      </w:r>
    </w:p>
    <w:p>
      <w:pPr>
        <w:spacing w:after="118" w:before="0" w:line="264"/>
      </w:pPr>
      <w:r>
        <w:rPr>
          <w:color w:val="1A1A1A"/>
          <w:sz w:val="21"/>
          <w:szCs w:val="21"/>
        </w:rPr>
        <w:t xml:space="preserve">Wholesale Carrier Access Billing is not a data pipeline that happens to involve money. It is a settlement engine whose output is a legally binding invoice to another carrier — disputable, auditable, and subject to regulatory challenge — and whose migration is gated on penny-exact functional parity against a fixed-point COBOL baseline. That single constraint dominates the language decision and overrides throughput arguments that would win in almost any other workload.</w:t>
      </w:r>
    </w:p>
    <w:p>
      <w:pPr>
        <w:spacing w:after="118" w:before="0" w:line="264"/>
      </w:pPr>
      <w:r>
        <w:rPr>
          <w:b/>
          <w:bCs/>
          <w:color w:val="0B2E4F"/>
          <w:sz w:val="21"/>
          <w:szCs w:val="21"/>
        </w:rPr>
        <w:t xml:space="preserve">Recommendation: </w:t>
      </w:r>
      <w:r>
        <w:rPr>
          <w:b/>
          <w:bCs/>
          <w:sz w:val="21"/>
          <w:szCs w:val="21"/>
        </w:rPr>
        <w:t xml:space="preserve">adopt Java (Spring Boot with Spring Batch, BigDecimal arithmetic) as the implementation language for the CABS money path, and confine PySpark to a defined, non-arithmetic data plane with a hard, testable boundary between the two.</w:t>
      </w:r>
    </w:p>
    <w:p>
      <w:pPr>
        <w:spacing w:after="118" w:before="0" w:line="264"/>
      </w:pPr>
      <w:r>
        <w:rPr>
          <w:color w:val="1A1A1A"/>
          <w:sz w:val="21"/>
          <w:szCs w:val="21"/>
        </w:rPr>
        <w:t xml:space="preserve">Against the weighted criteria in Section 3, Java scores 92.6 out of 100, PySpark 67.8, and Python 63.6. The recommended zoned architecture — Java money path, PySpark data plane — scores 96.0. It is a hybrid only in the sense that the two languages are separated by an enforced contract; they are not blended, and no money value is ever computed in more than one of them.</w:t>
      </w:r>
    </w:p>
    <w:p>
      <w:pPr>
        <w:pStyle w:val="Heading3"/>
        <w:spacing w:after="78" w:before="170"/>
      </w:pPr>
      <w:r>
        <w:rPr>
          <w:b/>
          <w:bCs/>
          <w:color w:val="33475B"/>
          <w:sz w:val="21"/>
          <w:szCs w:val="21"/>
        </w:rPr>
        <w:t xml:space="preserve">The four findings that drive the recommendation</w:t>
      </w:r>
    </w:p>
    <w:p>
      <w:pPr>
        <w:pStyle w:val="ListParagraph"/>
        <w:numPr>
          <w:ilvl w:val="0"/>
          <w:numId w:val="2"/>
        </w:numPr>
        <w:spacing w:after="76" w:line="264"/>
      </w:pPr>
      <w:r>
        <w:rPr>
          <w:b/>
          <w:bCs/>
          <w:sz w:val="21"/>
          <w:szCs w:val="21"/>
        </w:rPr>
        <w:t xml:space="preserve">Only BigDecimal has no ceiling and no implicit rounding. </w:t>
      </w:r>
      <w:r>
        <w:rPr>
          <w:sz w:val="21"/>
          <w:szCs w:val="21"/>
        </w:rPr>
        <w:t xml:space="preserve">Spark's DecimalType is hard-capped at 38 digits of precision and, under default settings, silently reduces the scale of a result to protect its integer digits. Python's Decimal defaults to 28 significant digits and banker's rounding — neither of which matches the COBOL baseline. Java's BigDecimal is unbounded, and an inexact division without a declared rounding mode throws rather than guesses.</w:t>
      </w:r>
    </w:p>
    <w:p>
      <w:pPr>
        <w:pStyle w:val="ListParagraph"/>
        <w:numPr>
          <w:ilvl w:val="0"/>
          <w:numId w:val="2"/>
        </w:numPr>
        <w:spacing w:after="76" w:line="264"/>
      </w:pPr>
      <w:r>
        <w:rPr>
          <w:b/>
          <w:bCs/>
          <w:sz w:val="21"/>
          <w:szCs w:val="21"/>
        </w:rPr>
        <w:t xml:space="preserve">Spark's execution model is order-indeterminate by construction. </w:t>
      </w:r>
      <w:r>
        <w:rPr>
          <w:sz w:val="21"/>
          <w:szCs w:val="21"/>
        </w:rPr>
        <w:t xml:space="preserve">Decimal addition is order-independent only while no intermediate rounding or overflow occurs. A rating pipeline with fractional-cent rates, PIU/PLU factors, meet-point splits and tiered accumulators does not satisfy that condition. The mitigations exist, but they amount to constraining Spark to behave like a set of independent sequential processors — which is what Spring Batch remote partitioning provides by construction.</w:t>
      </w:r>
    </w:p>
    <w:p>
      <w:pPr>
        <w:pStyle w:val="ListParagraph"/>
        <w:numPr>
          <w:ilvl w:val="0"/>
          <w:numId w:val="2"/>
        </w:numPr>
        <w:spacing w:after="76" w:line="264"/>
      </w:pPr>
      <w:r>
        <w:rPr>
          <w:b/>
          <w:bCs/>
          <w:sz w:val="21"/>
          <w:szCs w:val="21"/>
        </w:rPr>
        <w:t xml:space="preserve">Java is also the emitted target of the automated refactoring toolchain. </w:t>
      </w:r>
      <w:r>
        <w:rPr>
          <w:sz w:val="21"/>
          <w:szCs w:val="21"/>
        </w:rPr>
        <w:t xml:space="preserve">AWS Blu Age and comparable tools transform COBOL and PL/I into Java Spring Boot with COMP-3 fields mapped to BigDecimal. If any part of the estate is automatically refactored, Java is already in the target; choosing anything else for the core introduces a second language boundary inside one application.</w:t>
      </w:r>
    </w:p>
    <w:p>
      <w:pPr>
        <w:pStyle w:val="ListParagraph"/>
        <w:numPr>
          <w:ilvl w:val="0"/>
          <w:numId w:val="2"/>
        </w:numPr>
        <w:spacing w:after="76" w:line="264"/>
      </w:pPr>
      <w:r>
        <w:rPr>
          <w:b/>
          <w:bCs/>
          <w:sz w:val="21"/>
          <w:szCs w:val="21"/>
        </w:rPr>
        <w:t xml:space="preserve">PySpark still earns a place — just not in the money path. </w:t>
      </w:r>
      <w:r>
        <w:rPr>
          <w:sz w:val="21"/>
          <w:szCs w:val="21"/>
        </w:rPr>
        <w:t xml:space="preserve">CDR decode, validation, dedup, reference-data enrichment, partitioning and 24-month restatement candidate selection at 100M+ records per month are exactly what it is good at, and none of those operations round or accumulate a billable amount.</w:t>
      </w:r>
    </w:p>
    <w:p>
      <w:pPr>
        <w:spacing w:after="118" w:before="0" w:line="264"/>
      </w:pPr>
      <w:r>
        <w:rPr>
          <w:color w:val="1A1A1A"/>
          <w:sz w:val="21"/>
          <w:szCs w:val="21"/>
        </w:rPr>
        <w:t xml:space="preserve">The runner-up, a PySpark-primary target state, becomes the correct answer under four specific and testable conditions set out in Section 10. None of them holds today. Python as a portfolio-wide primary is not recommended for this workload under any condition currently in view: it can be made arithmetically correct, but doing so costs more discipline than Java and buys nothing Java does not already provide.</w:t>
      </w:r>
    </w:p>
    <w:p>
      <w:pPr>
        <w:pStyle w:val="Heading1"/>
        <w:spacing w:after="130" w:before="280"/>
      </w:pPr>
      <w:r>
        <w:rPr>
          <w:b/>
          <w:bCs/>
          <w:color w:val="0B2E4F"/>
          <w:sz w:val="28"/>
          <w:szCs w:val="28"/>
        </w:rPr>
        <w:t xml:space="preserve">2.  Workload Characterisation</w:t>
      </w:r>
    </w:p>
    <w:p>
      <w:pPr>
        <w:spacing w:after="118" w:before="0" w:line="264"/>
      </w:pPr>
      <w:r>
        <w:rPr>
          <w:color w:val="1A1A1A"/>
          <w:sz w:val="21"/>
          <w:szCs w:val="21"/>
        </w:rPr>
        <w:t xml:space="preserve">The following properties of the CABS workload are the ones that actually constrain the language choice. Everything else — team preference, ecosystem fashion, cloud-native aesthetics — is subordinate to them.</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2760"/>
        <w:gridCol w:w="6600"/>
      </w:tblGrid>
      <w:tr>
        <w:trPr>
          <w:tblHeader/>
        </w:trPr>
        <w:tc>
          <w:tcPr>
            <w:tcW w:type="dxa" w:w="276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Characteristic</w:t>
            </w:r>
          </w:p>
        </w:tc>
        <w:tc>
          <w:tcPr>
            <w:tcW w:type="dxa" w:w="66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Consequence for the language decision</w:t>
            </w:r>
          </w:p>
        </w:tc>
      </w:tr>
      <w:tr>
        <w:tc>
          <w:tcPr>
            <w:tcW w:type="dxa" w:w="2760"/>
            <w:tcMar>
              <w:top w:type="dxa" w:w="74"/>
              <w:left w:type="dxa" w:w="120"/>
              <w:bottom w:type="dxa" w:w="74"/>
              <w:right w:type="dxa" w:w="120"/>
            </w:tcMar>
            <w:vAlign w:val="center"/>
          </w:tcPr>
          <w:p>
            <w:pPr>
              <w:spacing w:after="0" w:line="250"/>
              <w:jc w:val="left"/>
            </w:pPr>
            <w:r>
              <w:rPr>
                <w:b/>
                <w:bCs/>
                <w:color w:val="1A1A1A"/>
                <w:sz w:val="17"/>
                <w:szCs w:val="17"/>
              </w:rPr>
              <w:t xml:space="preserve">Volume: 500K–2M CDRs per day; 15M–60M per month; target 100M+ per month</w:t>
            </w:r>
          </w:p>
        </w:tc>
        <w:tc>
          <w:tcPr>
            <w:tcW w:type="dxa" w:w="6600"/>
            <w:tcMar>
              <w:top w:type="dxa" w:w="74"/>
              <w:left w:type="dxa" w:w="120"/>
              <w:bottom w:type="dxa" w:w="74"/>
              <w:right w:type="dxa" w:w="120"/>
            </w:tcMar>
            <w:vAlign w:val="center"/>
          </w:tcPr>
          <w:p>
            <w:pPr>
              <w:spacing w:after="0" w:line="250"/>
              <w:jc w:val="left"/>
            </w:pPr>
            <w:r>
              <w:rPr>
                <w:color w:val="1A1A1A"/>
                <w:sz w:val="17"/>
                <w:szCs w:val="17"/>
              </w:rPr>
              <w:t xml:space="preserve">Large, but not extreme. At 100M records across a six-hour close window the sustained rate is roughly 4,600 records per second. That is inside the reach of a partitioned JVM batch tier. Volume alone does not force a distributed engine.</w:t>
            </w:r>
          </w:p>
        </w:tc>
      </w:tr>
      <w:tr>
        <w:tc>
          <w:tcPr>
            <w:tcW w:type="dxa" w:w="27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Fixed-length EMI/AMA-style records</w:t>
            </w:r>
          </w:p>
        </w:tc>
        <w:tc>
          <w:tcPr>
            <w:tcW w:type="dxa" w:w="66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Decode is a copybook-driven byte-offset operation with no arithmetic. It is a natural data-plane task and is well served by either runtime.</w:t>
            </w:r>
          </w:p>
        </w:tc>
      </w:tr>
      <w:tr>
        <w:tc>
          <w:tcPr>
            <w:tcW w:type="dxa" w:w="2760"/>
            <w:tcMar>
              <w:top w:type="dxa" w:w="74"/>
              <w:left w:type="dxa" w:w="120"/>
              <w:bottom w:type="dxa" w:w="74"/>
              <w:right w:type="dxa" w:w="120"/>
            </w:tcMar>
            <w:vAlign w:val="center"/>
          </w:tcPr>
          <w:p>
            <w:pPr>
              <w:spacing w:after="0" w:line="250"/>
              <w:jc w:val="left"/>
            </w:pPr>
            <w:r>
              <w:rPr>
                <w:b/>
                <w:bCs/>
                <w:color w:val="1A1A1A"/>
                <w:sz w:val="17"/>
                <w:szCs w:val="17"/>
              </w:rPr>
              <w:t xml:space="preserve">Money in packed decimal, S9(13)V9(5)</w:t>
            </w:r>
          </w:p>
        </w:tc>
        <w:tc>
          <w:tcPr>
            <w:tcW w:type="dxa" w:w="6600"/>
            <w:tcMar>
              <w:top w:type="dxa" w:w="74"/>
              <w:left w:type="dxa" w:w="120"/>
              <w:bottom w:type="dxa" w:w="74"/>
              <w:right w:type="dxa" w:w="120"/>
            </w:tcMar>
            <w:vAlign w:val="center"/>
          </w:tcPr>
          <w:p>
            <w:pPr>
              <w:spacing w:after="0" w:line="250"/>
              <w:jc w:val="left"/>
            </w:pPr>
            <w:r>
              <w:rPr>
                <w:color w:val="1A1A1A"/>
                <w:sz w:val="17"/>
                <w:szCs w:val="17"/>
              </w:rPr>
              <w:t xml:space="preserve">Eighteen total digits, five fractional, fixed-point. Enterprise COBOL carries intermediate results wider than the declared field — up to 30 digits under ARITH(COMPAT) and 31 under ARITH(EXTEND). The target must carry at least the same intermediate width, or it will diverge before the rounding step is even reached.</w:t>
            </w:r>
          </w:p>
        </w:tc>
      </w:tr>
      <w:tr>
        <w:tc>
          <w:tcPr>
            <w:tcW w:type="dxa" w:w="27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Fractional-cent rates, e.g. $0.0034521 per minute</w:t>
            </w:r>
          </w:p>
        </w:tc>
        <w:tc>
          <w:tcPr>
            <w:tcW w:type="dxa" w:w="66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Rate multiplied by minutes produces more fractional digits than either operand. Chained through a jurisdiction factor and a meet-point percentage, the exact result routinely needs 25–35 fractional digits before the single rounding step. Any runtime that truncates scale mid-chain will diverge silently.</w:t>
            </w:r>
          </w:p>
        </w:tc>
      </w:tr>
      <w:tr>
        <w:tc>
          <w:tcPr>
            <w:tcW w:type="dxa" w:w="2760"/>
            <w:tcMar>
              <w:top w:type="dxa" w:w="74"/>
              <w:left w:type="dxa" w:w="120"/>
              <w:bottom w:type="dxa" w:w="74"/>
              <w:right w:type="dxa" w:w="120"/>
            </w:tcMar>
            <w:vAlign w:val="center"/>
          </w:tcPr>
          <w:p>
            <w:pPr>
              <w:spacing w:after="0" w:line="250"/>
              <w:jc w:val="left"/>
            </w:pPr>
            <w:r>
              <w:rPr>
                <w:b/>
                <w:bCs/>
                <w:color w:val="1A1A1A"/>
                <w:sz w:val="17"/>
                <w:szCs w:val="17"/>
              </w:rPr>
              <w:t xml:space="preserve">Jurisdictional splitting via PIU/PLU with retroactive restatement</w:t>
            </w:r>
          </w:p>
        </w:tc>
        <w:tc>
          <w:tcPr>
            <w:tcW w:type="dxa" w:w="6600"/>
            <w:tcMar>
              <w:top w:type="dxa" w:w="74"/>
              <w:left w:type="dxa" w:w="120"/>
              <w:bottom w:type="dxa" w:w="74"/>
              <w:right w:type="dxa" w:w="120"/>
            </w:tcMar>
            <w:vAlign w:val="center"/>
          </w:tcPr>
          <w:p>
            <w:pPr>
              <w:spacing w:after="0" w:line="250"/>
              <w:jc w:val="left"/>
            </w:pPr>
            <w:r>
              <w:rPr>
                <w:color w:val="1A1A1A"/>
                <w:sz w:val="17"/>
                <w:szCs w:val="17"/>
              </w:rPr>
              <w:t xml:space="preserve">Prior periods are recomputed and the difference billed as an adjustment. The engine must reproduce the original computation exactly and then the new one exactly. A non-reproducible engine produces a non-reproducible adjustment, which is not defensible in a carrier dispute.</w:t>
            </w:r>
          </w:p>
        </w:tc>
      </w:tr>
      <w:tr>
        <w:tc>
          <w:tcPr>
            <w:tcW w:type="dxa" w:w="27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Meet-point billing, reciprocal compensation, inter-carrier settlement</w:t>
            </w:r>
          </w:p>
        </w:tc>
        <w:tc>
          <w:tcPr>
            <w:tcW w:type="dxa" w:w="66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Revenue is divided among LECs by percentage and the residual penny must be allocated to a named party by rule. This is allocation with a carried remainder — inherently sequence-dependent.</w:t>
            </w:r>
          </w:p>
        </w:tc>
      </w:tr>
      <w:tr>
        <w:tc>
          <w:tcPr>
            <w:tcW w:type="dxa" w:w="2760"/>
            <w:tcMar>
              <w:top w:type="dxa" w:w="74"/>
              <w:left w:type="dxa" w:w="120"/>
              <w:bottom w:type="dxa" w:w="74"/>
              <w:right w:type="dxa" w:w="120"/>
            </w:tcMar>
            <w:vAlign w:val="center"/>
          </w:tcPr>
          <w:p>
            <w:pPr>
              <w:spacing w:after="0" w:line="250"/>
              <w:jc w:val="left"/>
            </w:pPr>
            <w:r>
              <w:rPr>
                <w:b/>
                <w:bCs/>
                <w:color w:val="1A1A1A"/>
                <w:sz w:val="17"/>
                <w:szCs w:val="17"/>
              </w:rPr>
              <w:t xml:space="preserve">Sort-dominated batch, 30-generation GDG incremental processing, month-end close</w:t>
            </w:r>
          </w:p>
        </w:tc>
        <w:tc>
          <w:tcPr>
            <w:tcW w:type="dxa" w:w="6600"/>
            <w:tcMar>
              <w:top w:type="dxa" w:w="74"/>
              <w:left w:type="dxa" w:w="120"/>
              <w:bottom w:type="dxa" w:w="74"/>
              <w:right w:type="dxa" w:w="120"/>
            </w:tcMar>
            <w:vAlign w:val="center"/>
          </w:tcPr>
          <w:p>
            <w:pPr>
              <w:spacing w:after="0" w:line="250"/>
              <w:jc w:val="left"/>
            </w:pPr>
            <w:r>
              <w:rPr>
                <w:color w:val="1A1A1A"/>
                <w:sz w:val="17"/>
                <w:szCs w:val="17"/>
              </w:rPr>
              <w:t xml:space="preserve">The legacy is a sort-then-single-pass pipeline. Processing order is implicit in the design, load-bearing, and largely undocumented. It lives in the JCL SORT control cards, not in the COBOL.</w:t>
            </w:r>
          </w:p>
        </w:tc>
      </w:tr>
      <w:tr>
        <w:tc>
          <w:tcPr>
            <w:tcW w:type="dxa" w:w="27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Penny-exact functional-parity acceptance</w:t>
            </w:r>
          </w:p>
        </w:tc>
        <w:tc>
          <w:tcPr>
            <w:tcW w:type="dxa" w:w="66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The acceptance gate is a field-level comparison of invoice lines against the legacy baseline with no tolerance band. There is no headroom to absorb a rounding-mode difference or a truncated scale.</w:t>
            </w:r>
          </w:p>
        </w:tc>
      </w:tr>
    </w:tbl>
    <w:p>
      <w:pPr>
        <w:pStyle w:val="Heading1"/>
        <w:spacing w:after="130" w:before="280"/>
      </w:pPr>
      <w:r>
        <w:rPr>
          <w:b/>
          <w:bCs/>
          <w:color w:val="0B2E4F"/>
          <w:sz w:val="28"/>
          <w:szCs w:val="28"/>
        </w:rPr>
        <w:t xml:space="preserve">3.  Evaluation Method</w:t>
      </w:r>
    </w:p>
    <w:p>
      <w:pPr>
        <w:spacing w:after="118" w:before="0" w:line="264"/>
      </w:pPr>
      <w:r>
        <w:rPr>
          <w:color w:val="1A1A1A"/>
          <w:sz w:val="21"/>
          <w:szCs w:val="21"/>
        </w:rPr>
        <w:t xml:space="preserve">Each option is scored 1–5 against eight criteria, weighted to reflect what actually fails a CABS migration. Weights sum to 100; the weighted score is expressed out of 100.</w:t>
      </w:r>
    </w:p>
    <w:p>
      <w:pPr>
        <w:spacing w:after="118" w:before="0" w:line="264"/>
      </w:pPr>
      <w:r>
        <w:rPr>
          <w:b/>
          <w:bCs/>
          <w:color w:val="0B2E4F"/>
          <w:sz w:val="21"/>
          <w:szCs w:val="21"/>
        </w:rPr>
        <w:t xml:space="preserve">Scoring anchors. </w:t>
      </w:r>
      <w:r>
        <w:rPr>
          <w:sz w:val="21"/>
          <w:szCs w:val="21"/>
        </w:rPr>
        <w:t xml:space="preserve">5 — native fit, no material engineering effort required. 4 — strong fit, standard and well-documented patterns close the gap. 3 — workable, but requires deliberate design and ongoing discipline to stay correct. 2 — poor fit, requires bespoke controls that themselves become a maintenance liability. 1 — not viable for this workload.</w:t>
      </w:r>
    </w:p>
    <w:p>
      <w:pPr>
        <w:pStyle w:val="Heading3"/>
        <w:spacing w:after="78" w:before="170"/>
      </w:pPr>
      <w:r>
        <w:rPr>
          <w:b/>
          <w:bCs/>
          <w:color w:val="33475B"/>
          <w:sz w:val="21"/>
          <w:szCs w:val="21"/>
        </w:rPr>
        <w:t xml:space="preserve">Criteria and weights</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700"/>
        <w:gridCol w:w="3060"/>
        <w:gridCol w:w="700"/>
        <w:gridCol w:w="4900"/>
      </w:tblGrid>
      <w:tr>
        <w:trPr>
          <w:tblHeader/>
        </w:trPr>
        <w:tc>
          <w:tcPr>
            <w:tcW w:type="dxa" w:w="7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Ref</w:t>
            </w:r>
          </w:p>
        </w:tc>
        <w:tc>
          <w:tcPr>
            <w:tcW w:type="dxa" w:w="3060"/>
            <w:shd w:fill="0B2E4F" w:color="auto" w:val="clear"/>
            <w:tcMar>
              <w:top w:type="dxa" w:w="74"/>
              <w:left w:type="dxa" w:w="120"/>
              <w:bottom w:type="dxa" w:w="74"/>
              <w:right w:type="dxa" w:w="120"/>
            </w:tcMar>
            <w:vAlign w:val="center"/>
          </w:tcPr>
          <w:p>
            <w:pPr>
              <w:spacing w:after="0" w:line="250"/>
              <w:jc w:val="center"/>
            </w:pPr>
            <w:r>
              <w:rPr>
                <w:b/>
                <w:bCs/>
                <w:color w:val="FFFFFF"/>
                <w:sz w:val="18"/>
                <w:szCs w:val="18"/>
              </w:rPr>
              <w:t xml:space="preserve">Criterion</w:t>
            </w:r>
          </w:p>
        </w:tc>
        <w:tc>
          <w:tcPr>
            <w:tcW w:type="dxa" w:w="700"/>
            <w:shd w:fill="0B2E4F" w:color="auto" w:val="clear"/>
            <w:tcMar>
              <w:top w:type="dxa" w:w="74"/>
              <w:left w:type="dxa" w:w="120"/>
              <w:bottom w:type="dxa" w:w="74"/>
              <w:right w:type="dxa" w:w="120"/>
            </w:tcMar>
            <w:vAlign w:val="center"/>
          </w:tcPr>
          <w:p>
            <w:pPr>
              <w:spacing w:after="0" w:line="250"/>
              <w:jc w:val="center"/>
            </w:pPr>
            <w:r>
              <w:rPr>
                <w:b/>
                <w:bCs/>
                <w:color w:val="FFFFFF"/>
                <w:sz w:val="18"/>
                <w:szCs w:val="18"/>
              </w:rPr>
              <w:t xml:space="preserve">Weight</w:t>
            </w:r>
          </w:p>
        </w:tc>
        <w:tc>
          <w:tcPr>
            <w:tcW w:type="dxa" w:w="4900"/>
            <w:shd w:fill="0B2E4F" w:color="auto" w:val="clear"/>
            <w:tcMar>
              <w:top w:type="dxa" w:w="74"/>
              <w:left w:type="dxa" w:w="120"/>
              <w:bottom w:type="dxa" w:w="74"/>
              <w:right w:type="dxa" w:w="120"/>
            </w:tcMar>
            <w:vAlign w:val="center"/>
          </w:tcPr>
          <w:p>
            <w:pPr>
              <w:spacing w:after="0" w:line="250"/>
              <w:jc w:val="center"/>
            </w:pPr>
            <w:r>
              <w:rPr>
                <w:b/>
                <w:bCs/>
                <w:color w:val="FFFFFF"/>
                <w:sz w:val="18"/>
                <w:szCs w:val="18"/>
              </w:rPr>
              <w:t xml:space="preserve">Why this weight</w:t>
            </w:r>
          </w:p>
        </w:tc>
      </w:tr>
      <w:tr>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a</w:t>
            </w:r>
          </w:p>
        </w:tc>
        <w:tc>
          <w:tcPr>
            <w:tcW w:type="dxa" w:w="3060"/>
            <w:tcMar>
              <w:top w:type="dxa" w:w="74"/>
              <w:left w:type="dxa" w:w="120"/>
              <w:bottom w:type="dxa" w:w="74"/>
              <w:right w:type="dxa" w:w="120"/>
            </w:tcMar>
            <w:vAlign w:val="center"/>
          </w:tcPr>
          <w:p>
            <w:pPr>
              <w:spacing w:after="0" w:line="250"/>
              <w:jc w:val="left"/>
            </w:pPr>
            <w:r>
              <w:rPr>
                <w:b/>
                <w:bCs/>
                <w:color w:val="1A1A1A"/>
                <w:sz w:val="17"/>
                <w:szCs w:val="17"/>
              </w:rPr>
              <w:t xml:space="preserve">Performance for high-volume batch</w:t>
            </w:r>
          </w:p>
        </w:tc>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15</w:t>
            </w:r>
          </w:p>
        </w:tc>
        <w:tc>
          <w:tcPr>
            <w:tcW w:type="dxa" w:w="4900"/>
            <w:tcMar>
              <w:top w:type="dxa" w:w="74"/>
              <w:left w:type="dxa" w:w="120"/>
              <w:bottom w:type="dxa" w:w="74"/>
              <w:right w:type="dxa" w:w="120"/>
            </w:tcMar>
            <w:vAlign w:val="center"/>
          </w:tcPr>
          <w:p>
            <w:pPr>
              <w:spacing w:after="0" w:line="250"/>
              <w:jc w:val="left"/>
            </w:pPr>
            <w:r>
              <w:rPr>
                <w:color w:val="1A1A1A"/>
                <w:sz w:val="17"/>
                <w:szCs w:val="17"/>
              </w:rPr>
              <w:t xml:space="preserve">Real, but the measured requirement is ~4,600 records/second. This is a cost and close-window question, not a feasibility question.</w:t>
            </w:r>
          </w:p>
        </w:tc>
      </w:tr>
      <w:tr>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b</w:t>
            </w:r>
          </w:p>
        </w:tc>
        <w:tc>
          <w:tcPr>
            <w:tcW w:type="dxa" w:w="30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Horizontal and vertical scalability</w:t>
            </w:r>
          </w:p>
        </w:tc>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12</w:t>
            </w:r>
          </w:p>
        </w:tc>
        <w:tc>
          <w:tcPr>
            <w:tcW w:type="dxa" w:w="49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The estate must absorb a 2–3x volume increase and 24-month restatement scans without re-architecture.</w:t>
            </w:r>
          </w:p>
        </w:tc>
      </w:tr>
      <w:tr>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c</w:t>
            </w:r>
          </w:p>
        </w:tc>
        <w:tc>
          <w:tcPr>
            <w:tcW w:type="dxa" w:w="3060"/>
            <w:tcMar>
              <w:top w:type="dxa" w:w="74"/>
              <w:left w:type="dxa" w:w="120"/>
              <w:bottom w:type="dxa" w:w="74"/>
              <w:right w:type="dxa" w:w="120"/>
            </w:tcMar>
            <w:vAlign w:val="center"/>
          </w:tcPr>
          <w:p>
            <w:pPr>
              <w:spacing w:after="0" w:line="250"/>
              <w:jc w:val="left"/>
            </w:pPr>
            <w:r>
              <w:rPr>
                <w:b/>
                <w:bCs/>
                <w:color w:val="1A1A1A"/>
                <w:sz w:val="17"/>
                <w:szCs w:val="17"/>
              </w:rPr>
              <w:t xml:space="preserve">Maintainability and talent availability</w:t>
            </w:r>
          </w:p>
        </w:tc>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12</w:t>
            </w:r>
          </w:p>
        </w:tc>
        <w:tc>
          <w:tcPr>
            <w:tcW w:type="dxa" w:w="4900"/>
            <w:tcMar>
              <w:top w:type="dxa" w:w="74"/>
              <w:left w:type="dxa" w:w="120"/>
              <w:bottom w:type="dxa" w:w="74"/>
              <w:right w:type="dxa" w:w="120"/>
            </w:tcMar>
            <w:vAlign w:val="center"/>
          </w:tcPr>
          <w:p>
            <w:pPr>
              <w:spacing w:after="0" w:line="250"/>
              <w:jc w:val="left"/>
            </w:pPr>
            <w:r>
              <w:rPr>
                <w:color w:val="1A1A1A"/>
                <w:sz w:val="17"/>
                <w:szCs w:val="17"/>
              </w:rPr>
              <w:t xml:space="preserve">A settlement engine changes on tariff filings for decades. The team that owns it in 2035 matters more than the team that builds it in 2027.</w:t>
            </w:r>
          </w:p>
        </w:tc>
      </w:tr>
      <w:tr>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d</w:t>
            </w:r>
          </w:p>
        </w:tc>
        <w:tc>
          <w:tcPr>
            <w:tcW w:type="dxa" w:w="30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Decimal / financial arithmetic correctness and auditability</w:t>
            </w:r>
          </w:p>
        </w:tc>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20</w:t>
            </w:r>
          </w:p>
        </w:tc>
        <w:tc>
          <w:tcPr>
            <w:tcW w:type="dxa" w:w="49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This is the acceptance gate. A failure here is a programme failure, not a performance regression.</w:t>
            </w:r>
          </w:p>
        </w:tc>
      </w:tr>
      <w:tr>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e</w:t>
            </w:r>
          </w:p>
        </w:tc>
        <w:tc>
          <w:tcPr>
            <w:tcW w:type="dxa" w:w="3060"/>
            <w:tcMar>
              <w:top w:type="dxa" w:w="74"/>
              <w:left w:type="dxa" w:w="120"/>
              <w:bottom w:type="dxa" w:w="74"/>
              <w:right w:type="dxa" w:w="120"/>
            </w:tcMar>
            <w:vAlign w:val="center"/>
          </w:tcPr>
          <w:p>
            <w:pPr>
              <w:spacing w:after="0" w:line="250"/>
              <w:jc w:val="left"/>
            </w:pPr>
            <w:r>
              <w:rPr>
                <w:b/>
                <w:bCs/>
                <w:color w:val="1A1A1A"/>
                <w:sz w:val="17"/>
                <w:szCs w:val="17"/>
              </w:rPr>
              <w:t xml:space="preserve">Fit with AWS managed services</w:t>
            </w:r>
          </w:p>
        </w:tc>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10</w:t>
            </w:r>
          </w:p>
        </w:tc>
        <w:tc>
          <w:tcPr>
            <w:tcW w:type="dxa" w:w="4900"/>
            <w:tcMar>
              <w:top w:type="dxa" w:w="74"/>
              <w:left w:type="dxa" w:w="120"/>
              <w:bottom w:type="dxa" w:w="74"/>
              <w:right w:type="dxa" w:w="120"/>
            </w:tcMar>
            <w:vAlign w:val="center"/>
          </w:tcPr>
          <w:p>
            <w:pPr>
              <w:spacing w:after="0" w:line="250"/>
              <w:jc w:val="left"/>
            </w:pPr>
            <w:r>
              <w:rPr>
                <w:color w:val="1A1A1A"/>
                <w:sz w:val="17"/>
                <w:szCs w:val="17"/>
              </w:rPr>
              <w:t xml:space="preserve">A stated client preference and a genuine operating-cost lever, but subordinate to correctness.</w:t>
            </w:r>
          </w:p>
        </w:tc>
      </w:tr>
      <w:tr>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f</w:t>
            </w:r>
          </w:p>
        </w:tc>
        <w:tc>
          <w:tcPr>
            <w:tcW w:type="dxa" w:w="30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Parity testing and determinism</w:t>
            </w:r>
          </w:p>
        </w:tc>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18</w:t>
            </w:r>
          </w:p>
        </w:tc>
        <w:tc>
          <w:tcPr>
            <w:tcW w:type="dxa" w:w="49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The second half of the acceptance gate. Non-reproducible output cannot be parity-tested at all.</w:t>
            </w:r>
          </w:p>
        </w:tc>
      </w:tr>
      <w:tr>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g</w:t>
            </w:r>
          </w:p>
        </w:tc>
        <w:tc>
          <w:tcPr>
            <w:tcW w:type="dxa" w:w="3060"/>
            <w:tcMar>
              <w:top w:type="dxa" w:w="74"/>
              <w:left w:type="dxa" w:w="120"/>
              <w:bottom w:type="dxa" w:w="74"/>
              <w:right w:type="dxa" w:w="120"/>
            </w:tcMar>
            <w:vAlign w:val="center"/>
          </w:tcPr>
          <w:p>
            <w:pPr>
              <w:spacing w:after="0" w:line="250"/>
              <w:jc w:val="left"/>
            </w:pPr>
            <w:r>
              <w:rPr>
                <w:b/>
                <w:bCs/>
                <w:color w:val="1A1A1A"/>
                <w:sz w:val="17"/>
                <w:szCs w:val="17"/>
              </w:rPr>
              <w:t xml:space="preserve">Operational and observability maturity</w:t>
            </w:r>
          </w:p>
        </w:tc>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8</w:t>
            </w:r>
          </w:p>
        </w:tc>
        <w:tc>
          <w:tcPr>
            <w:tcW w:type="dxa" w:w="4900"/>
            <w:tcMar>
              <w:top w:type="dxa" w:w="74"/>
              <w:left w:type="dxa" w:w="120"/>
              <w:bottom w:type="dxa" w:w="74"/>
              <w:right w:type="dxa" w:w="120"/>
            </w:tcMar>
            <w:vAlign w:val="center"/>
          </w:tcPr>
          <w:p>
            <w:pPr>
              <w:spacing w:after="0" w:line="250"/>
              <w:jc w:val="left"/>
            </w:pPr>
            <w:r>
              <w:rPr>
                <w:color w:val="1A1A1A"/>
                <w:sz w:val="17"/>
                <w:szCs w:val="17"/>
              </w:rPr>
              <w:t xml:space="preserve">Month-end close is a time-boxed, high-visibility event. Restart, checkpoint and diagnosis quality is operationally material.</w:t>
            </w:r>
          </w:p>
        </w:tc>
      </w:tr>
      <w:tr>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h</w:t>
            </w:r>
          </w:p>
        </w:tc>
        <w:tc>
          <w:tcPr>
            <w:tcW w:type="dxa" w:w="30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Alignment to the stated Java-by-default constraint</w:t>
            </w:r>
          </w:p>
        </w:tc>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5</w:t>
            </w:r>
          </w:p>
        </w:tc>
        <w:tc>
          <w:tcPr>
            <w:tcW w:type="dxa" w:w="49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Deliberately weighted low. The constraint should earn its place on technical merit, not be assumed. It does.</w:t>
            </w:r>
          </w:p>
        </w:tc>
      </w:tr>
    </w:tbl>
    <w:p>
      <w:pPr>
        <w:pStyle w:val="Heading1"/>
        <w:spacing w:after="130" w:before="280"/>
      </w:pPr>
      <w:r>
        <w:rPr>
          <w:b/>
          <w:bCs/>
          <w:color w:val="0B2E4F"/>
          <w:sz w:val="28"/>
          <w:szCs w:val="28"/>
        </w:rPr>
        <w:t xml:space="preserve">4.  Option Profiles</w:t>
      </w:r>
    </w:p>
    <w:p>
      <w:pPr>
        <w:pStyle w:val="Heading2"/>
        <w:spacing w:after="95" w:before="220"/>
      </w:pPr>
      <w:r>
        <w:rPr>
          <w:b/>
          <w:bCs/>
          <w:color w:val="0B2E4F"/>
          <w:sz w:val="23"/>
          <w:szCs w:val="23"/>
        </w:rPr>
        <w:t xml:space="preserve">4.1  Option 1 — Java (Spring Boot + Spring Batch, BigDecimal)</w:t>
      </w:r>
    </w:p>
    <w:p>
      <w:pPr>
        <w:spacing w:after="118" w:before="0" w:line="264"/>
      </w:pPr>
      <w:r>
        <w:rPr>
          <w:color w:val="1A1A1A"/>
          <w:sz w:val="21"/>
          <w:szCs w:val="21"/>
        </w:rPr>
        <w:t xml:space="preserve">Spring Batch is a direct structural analogue of the legacy: a job of ordered steps, each a chunk-oriented read–process–write over a sorted stream, with checkpointing, restart-from-failure and skip/retry policies as first-class constructs. Spring Batch 6.0 re-implemented chunk-oriented processing on a producer–consumer model, added local chunking for multi-threaded processing inside one JVM, and retains the remote-partitioning SPI for scale-out across processes. Deployed on AWS this becomes containerised steps on AWS Batch or ECS Fargate, orchestrated by Step Functions, with the JobRepository in Aurora PostgreSQL and data on S3.</w:t>
      </w:r>
    </w:p>
    <w:p>
      <w:pPr>
        <w:spacing w:after="118" w:before="0" w:line="264"/>
      </w:pPr>
      <w:r>
        <w:rPr>
          <w:color w:val="1A1A1A"/>
          <w:sz w:val="21"/>
          <w:szCs w:val="21"/>
        </w:rPr>
        <w:t xml:space="preserve">The arithmetic case is decisive. BigDecimal is an arbitrary-precision unscaled integer plus a 32-bit scale: it does not run out of digits, and there is no cap at which it starts quietly discarding them. Its most valuable property for this workload is not precision but intolerance — divide() with no MathContext or rounding mode throws ArithmeticException when the quotient has a non-terminating decimal expansion, converting an entire class of silent rounding defects into a build-and-test failure. setScale(n, RoundingMode.HALF_UP) reproduces COBOL's ROUNDED phrase (default mode NEAREST-AWAY-FROM-ZERO) exactly, and every rounding decision is visible at the call site rather than inherited from ambient configuration.</w:t>
      </w:r>
    </w:p>
    <w:p>
      <w:pPr>
        <w:spacing w:after="118" w:before="0" w:line="264"/>
      </w:pPr>
      <w:r>
        <w:rPr>
          <w:color w:val="1A1A1A"/>
          <w:sz w:val="21"/>
          <w:szCs w:val="21"/>
        </w:rPr>
        <w:t xml:space="preserve">The known weaknesses are real but bounded. BigDecimal allocates objects and is roughly an order of magnitude slower than primitive arithmetic — immaterial in a pipeline that is I/O- and sort-bound rather than ALU-bound. equals() compares scale as well as value, so 2.0 and 2.00 are unequal and compareTo must be used. new BigDecimal(double) imports binary floating-point noise and must never appear. All three are enforceable as static rules; none is a surprise to an experienced team.</w:t>
      </w:r>
    </w:p>
    <w:p>
      <w:pPr>
        <w:pStyle w:val="Heading2"/>
        <w:spacing w:after="95" w:before="220"/>
      </w:pPr>
      <w:r>
        <w:rPr>
          <w:b/>
          <w:bCs/>
          <w:color w:val="0B2E4F"/>
          <w:sz w:val="23"/>
          <w:szCs w:val="23"/>
        </w:rPr>
        <w:t xml:space="preserve">4.2  Option 2 — Python (standalone services and batch, Decimal module)</w:t>
      </w:r>
    </w:p>
    <w:p>
      <w:pPr>
        <w:spacing w:after="118" w:before="0" w:line="264"/>
      </w:pPr>
      <w:r>
        <w:rPr>
          <w:color w:val="1A1A1A"/>
          <w:sz w:val="21"/>
          <w:szCs w:val="21"/>
        </w:rPr>
        <w:t xml:space="preserve">CPython's decimal module is a C implementation (libmpdec) of the IBM General Decimal Arithmetic Specification. It is correctly rounded, supports all eight rounding modes, and is genuinely fit for financial arithmetic. The problem is the defaults and the ambient nature of the context.</w:t>
      </w:r>
    </w:p>
    <w:p>
      <w:pPr>
        <w:spacing w:after="118" w:before="0" w:line="264"/>
      </w:pPr>
      <w:r>
        <w:rPr>
          <w:color w:val="1A1A1A"/>
          <w:sz w:val="21"/>
          <w:szCs w:val="21"/>
        </w:rPr>
        <w:t xml:space="preserve">Precision in Python's Decimal is expressed in significant digits, not scale, and the default context is 28 digits with ROUND_HALF_EVEN. A product of two 18-digit operands needs 36 significant digits and is silently rounded to 28 unless the context was raised at start-up. The context is thread-local, so a worker thread that does not inherit or re-establish it reverts to the default. Banker's rounding on ties differs from COBOL's ROUNDED on every exact half, which across millions of invoice lines is a systematic penny variance, not a rounding-error curiosity. None of this is unfixable — setting precision to 60 and rounding to ROUND_HALF_UP at process start resolves it — but the failure mode when someone forgets is silent, arithmetic, and downstream of every test that does not happen to hit a boundary value.</w:t>
      </w:r>
    </w:p>
    <w:p>
      <w:pPr>
        <w:spacing w:after="118" w:before="0" w:line="264"/>
      </w:pPr>
      <w:r>
        <w:rPr>
          <w:color w:val="1A1A1A"/>
          <w:sz w:val="21"/>
          <w:szCs w:val="21"/>
        </w:rPr>
        <w:t xml:space="preserve">Beyond arithmetic: there is no compile-time type checking over a rules base that will run to tens of thousands of lines and be modified by people who did not write it; the GIL constrains in-process parallelism, so scale-out is by process and shared in-memory rate-table caches are lost; and static analysis depth on dynamically typed code is materially lower than on JVM bytecode, which matters given the mandated Veracode gate. Python's real strengths — expressiveness, iteration speed, analytical ecosystem — are worth a great deal in the parity harness and revenue-assurance layer, and comparatively little in a settlement core that changes on tariff filings rather than on sprints.</w:t>
      </w:r>
    </w:p>
    <w:p>
      <w:pPr>
        <w:spacing w:after="118" w:before="0" w:line="264"/>
      </w:pPr>
      <w:r>
        <w:rPr>
          <w:i/>
          <w:iCs/>
          <w:color w:val="33475B"/>
          <w:sz w:val="21"/>
          <w:szCs w:val="21"/>
        </w:rPr>
        <w:t xml:space="preserve">Python is a poor choice for the money path not because it cannot be made correct, but because making it correct costs more discipline than Java and buys nothing Java does not already provide.</w:t>
      </w:r>
    </w:p>
    <w:p>
      <w:pPr>
        <w:pStyle w:val="Heading2"/>
        <w:spacing w:after="95" w:before="220"/>
      </w:pPr>
      <w:r>
        <w:rPr>
          <w:b/>
          <w:bCs/>
          <w:color w:val="0B2E4F"/>
          <w:sz w:val="23"/>
          <w:szCs w:val="23"/>
        </w:rPr>
        <w:t xml:space="preserve">4.3  Option 3 — PySpark (EMR / AWS Glue, Spark SQL DecimalType)</w:t>
      </w:r>
    </w:p>
    <w:p>
      <w:pPr>
        <w:spacing w:after="118" w:before="0" w:line="264"/>
      </w:pPr>
      <w:r>
        <w:rPr>
          <w:color w:val="1A1A1A"/>
          <w:sz w:val="21"/>
          <w:szCs w:val="21"/>
        </w:rPr>
        <w:t xml:space="preserve">PySpark has the highest raw throughput of the three, the best fit with AWS managed services, and the most natural handling of the bulk ingestion and multi-year restatement scan. AWS Glue 5.0 ships Apache Spark 3.5.4 with Python 3.11, Scala 2.12.18 and Java 17, with Iceberg, Hudi and Delta support, Lake Formation fine-grained access control and job bookmarks for incremental processing; EMR Serverless covers longer-running or more heavily tuned workloads. On the criteria of performance, scalability and managed-service fit, it is the strongest option by a clear margin.</w:t>
      </w:r>
    </w:p>
    <w:p>
      <w:pPr>
        <w:spacing w:after="118" w:before="0" w:line="264"/>
      </w:pPr>
      <w:r>
        <w:rPr>
          <w:color w:val="1A1A1A"/>
          <w:sz w:val="21"/>
          <w:szCs w:val="21"/>
        </w:rPr>
        <w:t xml:space="preserve">Its problem is arithmetic and determinism, and both are structural rather than incidental. DecimalType is backed by Java's BigDecimal but capped at precision 38, scale less than or equal to precision. Spark infers the result type of every arithmetic expression, and multiplication and division routinely produce inferred precisions above the cap. Under the default spark.sql.decimalOperations.allowPrecisionLoss = true, Spark preserves the integer digits by reducing the scale of the result, down to a floor of 6 — a silent loss of fractional digits in precisely the operation (rate × minutes × factor) this workload is built on. Set the flag to false and the same expression returns NULL instead. On overflow, Spark 3.x with ANSI mode off — the AWS Glue 5.0 default — also returns NULL; Spark 4.0 flipped spark.sql.ansi.enabled to true so the same condition now raises an arithmetic exception. A NULL in a billing pipeline becomes a missing charge, and a missing charge is discovered by a carrier, not by a monitor.</w:t>
      </w:r>
    </w:p>
    <w:p>
      <w:pPr>
        <w:pStyle w:val="Heading1"/>
        <w:spacing w:after="130" w:before="280"/>
      </w:pPr>
      <w:r>
        <w:rPr>
          <w:b/>
          <w:bCs/>
          <w:color w:val="0B2E4F"/>
          <w:sz w:val="28"/>
          <w:szCs w:val="28"/>
        </w:rPr>
        <w:t xml:space="preserve">5.  Decimal Arithmetic: Where Each Runtime Breaks</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2040"/>
        <w:gridCol w:w="2440"/>
        <w:gridCol w:w="2440"/>
        <w:gridCol w:w="2440"/>
      </w:tblGrid>
      <w:tr>
        <w:trPr>
          <w:tblHeader/>
        </w:trPr>
        <w:tc>
          <w:tcPr>
            <w:tcW w:type="dxa" w:w="204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Property</w:t>
            </w:r>
          </w:p>
        </w:tc>
        <w:tc>
          <w:tcPr>
            <w:tcW w:type="dxa" w:w="244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Java BigDecimal</w:t>
            </w:r>
          </w:p>
        </w:tc>
        <w:tc>
          <w:tcPr>
            <w:tcW w:type="dxa" w:w="244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Python Decimal</w:t>
            </w:r>
          </w:p>
        </w:tc>
        <w:tc>
          <w:tcPr>
            <w:tcW w:type="dxa" w:w="244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Spark DecimalType</w:t>
            </w:r>
          </w:p>
        </w:tc>
      </w:tr>
      <w:tr>
        <w:tc>
          <w:tcPr>
            <w:tcW w:type="dxa" w:w="2040"/>
            <w:tcMar>
              <w:top w:type="dxa" w:w="74"/>
              <w:left w:type="dxa" w:w="120"/>
              <w:bottom w:type="dxa" w:w="74"/>
              <w:right w:type="dxa" w:w="120"/>
            </w:tcMar>
            <w:vAlign w:val="center"/>
          </w:tcPr>
          <w:p>
            <w:pPr>
              <w:spacing w:after="0" w:line="250"/>
              <w:jc w:val="left"/>
            </w:pPr>
            <w:r>
              <w:rPr>
                <w:b/>
                <w:bCs/>
                <w:color w:val="1A1A1A"/>
                <w:sz w:val="17"/>
                <w:szCs w:val="17"/>
              </w:rPr>
              <w:t xml:space="preserve">Underlying model</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Arbitrary-precision integer with a 32-bit scale</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IBM General Decimal Arithmetic spec (libmpdec)</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Java BigDecimal, capped at precision 38</w:t>
            </w:r>
          </w:p>
        </w:tc>
      </w:tr>
      <w:tr>
        <w:tc>
          <w:tcPr>
            <w:tcW w:type="dxa" w:w="204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Maximum precision</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Bounded only by available memory</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Context-configurable; default 28 significant digits</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38 total digits. Hard cap, not configurable</w:t>
            </w:r>
          </w:p>
        </w:tc>
      </w:tr>
      <w:tr>
        <w:tc>
          <w:tcPr>
            <w:tcW w:type="dxa" w:w="2040"/>
            <w:tcMar>
              <w:top w:type="dxa" w:w="74"/>
              <w:left w:type="dxa" w:w="120"/>
              <w:bottom w:type="dxa" w:w="74"/>
              <w:right w:type="dxa" w:w="120"/>
            </w:tcMar>
            <w:vAlign w:val="center"/>
          </w:tcPr>
          <w:p>
            <w:pPr>
              <w:spacing w:after="0" w:line="250"/>
              <w:jc w:val="left"/>
            </w:pPr>
            <w:r>
              <w:rPr>
                <w:b/>
                <w:bCs/>
                <w:color w:val="1A1A1A"/>
                <w:sz w:val="17"/>
                <w:szCs w:val="17"/>
              </w:rPr>
              <w:t xml:space="preserve">Precision expressed as</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Scale (digits after the point), per value</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Significant digits, per thread-local context</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Precision and scale, per column and per inferred expression type</w:t>
            </w:r>
          </w:p>
        </w:tc>
      </w:tr>
      <w:tr>
        <w:tc>
          <w:tcPr>
            <w:tcW w:type="dxa" w:w="204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Default rounding</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None. An inexact divide without a stated mode throws ArithmeticException</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ROUND_HALF_EVEN (banker's rounding)</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round() is HALF_UP; bround() is HALF_EVEN; type coercion rounds implicitly</w:t>
            </w:r>
          </w:p>
        </w:tc>
      </w:tr>
      <w:tr>
        <w:tc>
          <w:tcPr>
            <w:tcW w:type="dxa" w:w="2040"/>
            <w:tcMar>
              <w:top w:type="dxa" w:w="74"/>
              <w:left w:type="dxa" w:w="120"/>
              <w:bottom w:type="dxa" w:w="74"/>
              <w:right w:type="dxa" w:w="120"/>
            </w:tcMar>
            <w:vAlign w:val="center"/>
          </w:tcPr>
          <w:p>
            <w:pPr>
              <w:spacing w:after="0" w:line="250"/>
              <w:jc w:val="left"/>
            </w:pPr>
            <w:r>
              <w:rPr>
                <w:b/>
                <w:bCs/>
                <w:color w:val="1A1A1A"/>
                <w:sz w:val="17"/>
                <w:szCs w:val="17"/>
              </w:rPr>
              <w:t xml:space="preserve">When the exact result exceeds capacity</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Not applicable — the value grows</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Silently rounded to the context precision</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allowPrecisionLoss = true (default): scale reduced toward a floor of 6. Set false: returns NULL</w:t>
            </w:r>
          </w:p>
        </w:tc>
      </w:tr>
      <w:tr>
        <w:tc>
          <w:tcPr>
            <w:tcW w:type="dxa" w:w="204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On overflow</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Not applicable</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InvalidOperation / Overflow trapped by default</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NULL with ANSI off (Spark 3.5 / Glue 5.0 default); ARITHMETIC_OVERFLOW with ANSI on (Spark 4.0 default)</w:t>
            </w:r>
          </w:p>
        </w:tc>
      </w:tr>
      <w:tr>
        <w:tc>
          <w:tcPr>
            <w:tcW w:type="dxa" w:w="2040"/>
            <w:tcMar>
              <w:top w:type="dxa" w:w="74"/>
              <w:left w:type="dxa" w:w="120"/>
              <w:bottom w:type="dxa" w:w="74"/>
              <w:right w:type="dxa" w:w="120"/>
            </w:tcMar>
            <w:vAlign w:val="center"/>
          </w:tcPr>
          <w:p>
            <w:pPr>
              <w:spacing w:after="0" w:line="250"/>
              <w:jc w:val="left"/>
            </w:pPr>
            <w:r>
              <w:rPr>
                <w:b/>
                <w:bCs/>
                <w:color w:val="1A1A1A"/>
                <w:sz w:val="17"/>
                <w:szCs w:val="17"/>
              </w:rPr>
              <w:t xml:space="preserve">Aggregation behaviour</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Sum of BigDecimal is exact and unbounded</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Exact within the context precision</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SUM raises precision by 10, capped at 38. Once an input is already at 38, SUM has no headroom left</w:t>
            </w:r>
          </w:p>
        </w:tc>
      </w:tr>
      <w:tr>
        <w:tc>
          <w:tcPr>
            <w:tcW w:type="dxa" w:w="204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Reproducing COBOL ROUNDED</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Exact: setScale(n, HALF_UP)</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Achievable, but requires an explicit change from the default context</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Achievable per expression via round(), but implicit coercions are outside developer control</w:t>
            </w:r>
          </w:p>
        </w:tc>
      </w:tr>
      <w:tr>
        <w:tc>
          <w:tcPr>
            <w:tcW w:type="dxa" w:w="2040"/>
            <w:tcMar>
              <w:top w:type="dxa" w:w="74"/>
              <w:left w:type="dxa" w:w="120"/>
              <w:bottom w:type="dxa" w:w="74"/>
              <w:right w:type="dxa" w:w="120"/>
            </w:tcMar>
            <w:vAlign w:val="center"/>
          </w:tcPr>
          <w:p>
            <w:pPr>
              <w:spacing w:after="0" w:line="250"/>
              <w:jc w:val="left"/>
            </w:pPr>
            <w:r>
              <w:rPr>
                <w:b/>
                <w:bCs/>
                <w:color w:val="1A1A1A"/>
                <w:sz w:val="17"/>
                <w:szCs w:val="17"/>
              </w:rPr>
              <w:t xml:space="preserve">Silent-loss risk</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Low. Inexact division must be explicitly resolved</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Medium. The default context truncates significant digits without notice</w:t>
            </w:r>
          </w:p>
        </w:tc>
        <w:tc>
          <w:tcPr>
            <w:tcW w:type="dxa" w:w="2440"/>
            <w:tcMar>
              <w:top w:type="dxa" w:w="74"/>
              <w:left w:type="dxa" w:w="120"/>
              <w:bottom w:type="dxa" w:w="74"/>
              <w:right w:type="dxa" w:w="120"/>
            </w:tcMar>
            <w:vAlign w:val="center"/>
          </w:tcPr>
          <w:p>
            <w:pPr>
              <w:spacing w:after="0" w:line="250"/>
              <w:jc w:val="left"/>
            </w:pPr>
            <w:r>
              <w:rPr>
                <w:color w:val="1A1A1A"/>
                <w:sz w:val="17"/>
                <w:szCs w:val="17"/>
              </w:rPr>
              <w:t xml:space="preserve">High. Scale reduction and NULL-on-overflow are both silent under default settings</w:t>
            </w:r>
          </w:p>
        </w:tc>
      </w:tr>
      <w:tr>
        <w:tc>
          <w:tcPr>
            <w:tcW w:type="dxa" w:w="204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Auditability</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Scale and rounding declared in code at every step; statically enforceable</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Rounding governed by ambient thread-local context, not by the expression</w:t>
            </w:r>
          </w:p>
        </w:tc>
        <w:tc>
          <w:tcPr>
            <w:tcW w:type="dxa" w:w="244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Rounding partly governed by the optimiser's inferred result types</w:t>
            </w:r>
          </w:p>
        </w:tc>
      </w:tr>
    </w:tbl>
    <w:p>
      <w:pPr>
        <w:pStyle w:val="Heading2"/>
        <w:spacing w:after="95" w:before="220"/>
      </w:pPr>
      <w:r>
        <w:rPr>
          <w:b/>
          <w:bCs/>
          <w:color w:val="0B2E4F"/>
          <w:sz w:val="23"/>
          <w:szCs w:val="23"/>
        </w:rPr>
        <w:t xml:space="preserve">5.1  A worked example from this workload</w:t>
      </w:r>
    </w:p>
    <w:p>
      <w:pPr>
        <w:spacing w:after="118" w:before="0" w:line="264"/>
      </w:pPr>
      <w:r>
        <w:rPr>
          <w:color w:val="1A1A1A"/>
          <w:sz w:val="21"/>
          <w:szCs w:val="21"/>
        </w:rPr>
        <w:t xml:space="preserve">Take one switched-access rating step with realistic types: minutes DECIMAL(11,2), rate DECIMAL(18,10), PIU factor DECIMAL(9,8), meet-point share DECIMAL(9,8). Spark's result-type inference produces the following chain:</w:t>
      </w:r>
    </w:p>
    <w:p>
      <w:pPr>
        <w:pStyle w:val="ListParagraph"/>
        <w:numPr>
          <w:ilvl w:val="0"/>
          <w:numId w:val="2"/>
        </w:numPr>
        <w:spacing w:after="76" w:line="264"/>
      </w:pPr>
      <w:r>
        <w:rPr>
          <w:color w:val="1A1A1A"/>
          <w:sz w:val="21"/>
          <w:szCs w:val="21"/>
        </w:rPr>
        <w:t xml:space="preserve">minutes × rate: precision 11 + 18 + 1 = 30, scale 12. Comfortably inside the cap.</w:t>
      </w:r>
    </w:p>
    <w:p>
      <w:pPr>
        <w:pStyle w:val="ListParagraph"/>
        <w:numPr>
          <w:ilvl w:val="0"/>
          <w:numId w:val="2"/>
        </w:numPr>
        <w:spacing w:after="76" w:line="264"/>
      </w:pPr>
      <w:r>
        <w:rPr>
          <w:color w:val="1A1A1A"/>
          <w:sz w:val="21"/>
          <w:szCs w:val="21"/>
        </w:rPr>
        <w:t xml:space="preserve">× PIU factor: required precision 30 + 9 + 1 = 40, scale 20 — above the cap. Spark preserves the 20 integer digits and reduces the scale to 18. Two fractional digits are gone.</w:t>
      </w:r>
    </w:p>
    <w:p>
      <w:pPr>
        <w:pStyle w:val="ListParagraph"/>
        <w:numPr>
          <w:ilvl w:val="0"/>
          <w:numId w:val="2"/>
        </w:numPr>
        <w:spacing w:after="76" w:line="264"/>
      </w:pPr>
      <w:r>
        <w:rPr>
          <w:color w:val="1A1A1A"/>
          <w:sz w:val="21"/>
          <w:szCs w:val="21"/>
        </w:rPr>
        <w:t xml:space="preserve">× meet-point share: required precision 48, scale 26. The scale is reduced again, to 16. Ten more fractional digits are gone.</w:t>
      </w:r>
    </w:p>
    <w:p>
      <w:pPr>
        <w:spacing w:after="118" w:before="0" w:line="264"/>
      </w:pPr>
      <w:r>
        <w:rPr>
          <w:color w:val="1A1A1A"/>
          <w:sz w:val="21"/>
          <w:szCs w:val="21"/>
        </w:rPr>
        <w:t xml:space="preserve">Neither truncation appears in any line of code. Neither will be caught in code review. Both are the optimiser's type arithmetic, executed silently, at fractional-cent rates where those digits are the entire point. On a single call the loss is invisible; across 100 million records and a meet-point split it is a reconciliation variance nobody can explain.</w:t>
      </w:r>
    </w:p>
    <w:p>
      <w:pPr>
        <w:spacing w:after="118" w:before="0" w:line="264"/>
      </w:pPr>
      <w:r>
        <w:rPr>
          <w:color w:val="1A1A1A"/>
          <w:sz w:val="21"/>
          <w:szCs w:val="21"/>
        </w:rPr>
        <w:t xml:space="preserve">The same chain in Java is four BigDecimal multiplications carrying full exact scale, followed by exactly one setScale(2, RoundingMode.HALF_UP) at invoice-line assembly. In Python it is correct provided the ambient context precision was raised above 40 significant digits at process start and left there.</w:t>
      </w:r>
    </w:p>
    <w:p>
      <w:pPr>
        <w:spacing w:after="118" w:before="0" w:line="264"/>
      </w:pPr>
      <w:r>
        <w:rPr>
          <w:color w:val="1A1A1A"/>
          <w:sz w:val="21"/>
          <w:szCs w:val="21"/>
        </w:rPr>
        <w:t xml:space="preserve">There is a second-order trap in the aggregation. Spark's SUM over a DecimalType raises the result precision by 10, capped at 38. Where an intermediate has already been coerced to precision 38 — which the chain above reaches by its third operation — SUM has no headroom at all, and a month-end total across millions of records can overflow. With ANSI mode off, which is the AWS Glue 5.0 default, that overflow is a NULL rather than an error.</w:t>
      </w:r>
    </w:p>
    <w:p>
      <w:pPr>
        <w:pStyle w:val="Heading1"/>
        <w:spacing w:after="130" w:before="280"/>
      </w:pPr>
      <w:r>
        <w:rPr>
          <w:b/>
          <w:bCs/>
          <w:color w:val="0B2E4F"/>
          <w:sz w:val="28"/>
          <w:szCs w:val="28"/>
        </w:rPr>
        <w:t xml:space="preserve">6.  Determinism and the Penny-Exact Parity Gate</w:t>
      </w:r>
    </w:p>
    <w:p>
      <w:pPr>
        <w:spacing w:after="118" w:before="0" w:line="264"/>
      </w:pPr>
      <w:r>
        <w:rPr>
          <w:color w:val="1A1A1A"/>
          <w:sz w:val="21"/>
          <w:szCs w:val="21"/>
        </w:rPr>
        <w:t xml:space="preserve">It is worth stating the honest version first: decimal addition is exact and associative. If the pipeline only ever added exact decimal values, with no rounding and no overflow, Spark's shuffle order would be irrelevant and this section would not exist. Order-sensitivity is introduced not by summation itself but by the operations surrounding it — and a CABS rating pipeline is made almost entirely of those operations.</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2500"/>
        <w:gridCol w:w="3400"/>
        <w:gridCol w:w="3460"/>
      </w:tblGrid>
      <w:tr>
        <w:trPr>
          <w:tblHeader/>
        </w:trPr>
        <w:tc>
          <w:tcPr>
            <w:tcW w:type="dxa" w:w="25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Failure mode</w:t>
            </w:r>
          </w:p>
        </w:tc>
        <w:tc>
          <w:tcPr>
            <w:tcW w:type="dxa" w:w="34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Why it matters here</w:t>
            </w:r>
          </w:p>
        </w:tc>
        <w:tc>
          <w:tcPr>
            <w:tcW w:type="dxa" w:w="346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Mitigation</w:t>
            </w:r>
          </w:p>
        </w:tc>
      </w:tr>
      <w:tr>
        <w:tc>
          <w:tcPr>
            <w:tcW w:type="dxa" w:w="2500"/>
            <w:tcMar>
              <w:top w:type="dxa" w:w="74"/>
              <w:left w:type="dxa" w:w="120"/>
              <w:bottom w:type="dxa" w:w="74"/>
              <w:right w:type="dxa" w:w="120"/>
            </w:tcMar>
            <w:vAlign w:val="center"/>
          </w:tcPr>
          <w:p>
            <w:pPr>
              <w:spacing w:after="0" w:line="250"/>
              <w:jc w:val="left"/>
            </w:pPr>
            <w:r>
              <w:rPr>
                <w:b/>
                <w:bCs/>
                <w:color w:val="1A1A1A"/>
                <w:sz w:val="17"/>
                <w:szCs w:val="17"/>
              </w:rPr>
              <w:t xml:space="preserve">Round-then-sum versus sum-then-round</w:t>
            </w:r>
          </w:p>
        </w:tc>
        <w:tc>
          <w:tcPr>
            <w:tcW w:type="dxa" w:w="3400"/>
            <w:tcMar>
              <w:top w:type="dxa" w:w="74"/>
              <w:left w:type="dxa" w:w="120"/>
              <w:bottom w:type="dxa" w:w="74"/>
              <w:right w:type="dxa" w:w="120"/>
            </w:tcMar>
            <w:vAlign w:val="center"/>
          </w:tcPr>
          <w:p>
            <w:pPr>
              <w:spacing w:after="0" w:line="250"/>
              <w:jc w:val="left"/>
            </w:pPr>
            <w:r>
              <w:rPr>
                <w:color w:val="1A1A1A"/>
                <w:sz w:val="17"/>
                <w:szCs w:val="17"/>
              </w:rPr>
              <w:t xml:space="preserve">Partial aggregates rounded per partition before merging produce a different total from a single rounding at the end. The drift scales with partition count, so it changes when the cluster autoscales.</w:t>
            </w:r>
          </w:p>
        </w:tc>
        <w:tc>
          <w:tcPr>
            <w:tcW w:type="dxa" w:w="3460"/>
            <w:tcMar>
              <w:top w:type="dxa" w:w="74"/>
              <w:left w:type="dxa" w:w="120"/>
              <w:bottom w:type="dxa" w:w="74"/>
              <w:right w:type="dxa" w:w="120"/>
            </w:tcMar>
            <w:vAlign w:val="center"/>
          </w:tcPr>
          <w:p>
            <w:pPr>
              <w:spacing w:after="0" w:line="250"/>
              <w:jc w:val="left"/>
            </w:pPr>
            <w:r>
              <w:rPr>
                <w:color w:val="1A1A1A"/>
                <w:sz w:val="17"/>
                <w:szCs w:val="17"/>
              </w:rPr>
              <w:t xml:space="preserve">Carry full scale through every partial aggregate. Round exactly once, at the invoice-line boundary. Assert the location of the rounding point in code and test it.</w:t>
            </w:r>
          </w:p>
        </w:tc>
      </w:tr>
      <w:tr>
        <w:tc>
          <w:tcPr>
            <w:tcW w:type="dxa" w:w="25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Optimiser-dependent scale reduction</w:t>
            </w:r>
          </w:p>
        </w:tc>
        <w:tc>
          <w:tcPr>
            <w:tcW w:type="dxa" w:w="3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Spark's result types depend on the declared types at each node. Catalyst re-association and adaptive query execution can change the physical plan between runs on identical input, and with it the point at which scale is reduced.</w:t>
            </w:r>
          </w:p>
        </w:tc>
        <w:tc>
          <w:tcPr>
            <w:tcW w:type="dxa" w:w="34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Declare every decimal type explicitly with a CAST at each arithmetic boundary; never let a type be inferred. Pin the plan and disable AQE for parity-critical stages.</w:t>
            </w:r>
          </w:p>
        </w:tc>
      </w:tr>
      <w:tr>
        <w:tc>
          <w:tcPr>
            <w:tcW w:type="dxa" w:w="2500"/>
            <w:tcMar>
              <w:top w:type="dxa" w:w="74"/>
              <w:left w:type="dxa" w:w="120"/>
              <w:bottom w:type="dxa" w:w="74"/>
              <w:right w:type="dxa" w:w="120"/>
            </w:tcMar>
            <w:vAlign w:val="center"/>
          </w:tcPr>
          <w:p>
            <w:pPr>
              <w:spacing w:after="0" w:line="250"/>
              <w:jc w:val="left"/>
            </w:pPr>
            <w:r>
              <w:rPr>
                <w:b/>
                <w:bCs/>
                <w:color w:val="1A1A1A"/>
                <w:sz w:val="17"/>
                <w:szCs w:val="17"/>
              </w:rPr>
              <w:t xml:space="preserve">Indeterminate repartitioning</w:t>
            </w:r>
          </w:p>
        </w:tc>
        <w:tc>
          <w:tcPr>
            <w:tcW w:type="dxa" w:w="3400"/>
            <w:tcMar>
              <w:top w:type="dxa" w:w="74"/>
              <w:left w:type="dxa" w:w="120"/>
              <w:bottom w:type="dxa" w:w="74"/>
              <w:right w:type="dxa" w:w="120"/>
            </w:tcMar>
            <w:vAlign w:val="center"/>
          </w:tcPr>
          <w:p>
            <w:pPr>
              <w:spacing w:after="0" w:line="250"/>
              <w:jc w:val="left"/>
            </w:pPr>
            <w:r>
              <w:rPr>
                <w:color w:val="1A1A1A"/>
                <w:sz w:val="17"/>
                <w:szCs w:val="17"/>
              </w:rPr>
              <w:t xml:space="preserve">repartition() uses round-robin over an input order that is not determined. When an executor is lost, the retried task assigns rows differently (SPARK-23207), changing any order-sensitive downstream result. This is the failure that produces a different answer from the same input.</w:t>
            </w:r>
          </w:p>
        </w:tc>
        <w:tc>
          <w:tcPr>
            <w:tcW w:type="dxa" w:w="3460"/>
            <w:tcMar>
              <w:top w:type="dxa" w:w="74"/>
              <w:left w:type="dxa" w:w="120"/>
              <w:bottom w:type="dxa" w:w="74"/>
              <w:right w:type="dxa" w:w="120"/>
            </w:tcMar>
            <w:vAlign w:val="center"/>
          </w:tcPr>
          <w:p>
            <w:pPr>
              <w:spacing w:after="0" w:line="250"/>
              <w:jc w:val="left"/>
            </w:pPr>
            <w:r>
              <w:rPr>
                <w:color w:val="1A1A1A"/>
                <w:sz w:val="17"/>
                <w:szCs w:val="17"/>
              </w:rPr>
              <w:t xml:space="preserve">Partition by a business key — BAN, OCN, meet-point arrangement — and never by round-robin in any stage feeding an accumulator. Keep spark.sql.execution.sortBeforeRepartition enabled.</w:t>
            </w:r>
          </w:p>
        </w:tc>
      </w:tr>
      <w:tr>
        <w:tc>
          <w:tcPr>
            <w:tcW w:type="dxa" w:w="25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Order-sensitive expressions</w:t>
            </w:r>
          </w:p>
        </w:tc>
        <w:tc>
          <w:tcPr>
            <w:tcW w:type="dxa" w:w="3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first(), last(), collect_list(), monotonically_increasing_id() and window functions without a total ordering return whatever the shuffle happened to deliver first.</w:t>
            </w:r>
          </w:p>
        </w:tc>
        <w:tc>
          <w:tcPr>
            <w:tcW w:type="dxa" w:w="34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Ban these outright in the money path. Where sequence matters, impose a total order using source file sequence plus record offset as a tiebreaker.</w:t>
            </w:r>
          </w:p>
        </w:tc>
      </w:tr>
      <w:tr>
        <w:tc>
          <w:tcPr>
            <w:tcW w:type="dxa" w:w="2500"/>
            <w:tcMar>
              <w:top w:type="dxa" w:w="74"/>
              <w:left w:type="dxa" w:w="120"/>
              <w:bottom w:type="dxa" w:w="74"/>
              <w:right w:type="dxa" w:w="120"/>
            </w:tcMar>
            <w:vAlign w:val="center"/>
          </w:tcPr>
          <w:p>
            <w:pPr>
              <w:spacing w:after="0" w:line="250"/>
              <w:jc w:val="left"/>
            </w:pPr>
            <w:r>
              <w:rPr>
                <w:b/>
                <w:bCs/>
                <w:color w:val="1A1A1A"/>
                <w:sz w:val="17"/>
                <w:szCs w:val="17"/>
              </w:rPr>
              <w:t xml:space="preserve">Rounding-mode mismatch</w:t>
            </w:r>
          </w:p>
        </w:tc>
        <w:tc>
          <w:tcPr>
            <w:tcW w:type="dxa" w:w="3400"/>
            <w:tcMar>
              <w:top w:type="dxa" w:w="74"/>
              <w:left w:type="dxa" w:w="120"/>
              <w:bottom w:type="dxa" w:w="74"/>
              <w:right w:type="dxa" w:w="120"/>
            </w:tcMar>
            <w:vAlign w:val="center"/>
          </w:tcPr>
          <w:p>
            <w:pPr>
              <w:spacing w:after="0" w:line="250"/>
              <w:jc w:val="left"/>
            </w:pPr>
            <w:r>
              <w:rPr>
                <w:color w:val="1A1A1A"/>
                <w:sz w:val="17"/>
                <w:szCs w:val="17"/>
              </w:rPr>
              <w:t xml:space="preserve">Spark's round() is HALF_UP and bround() is HALF_EVEN. A developer reaching for the safer-sounding bround silently changes the treatment of every exact half in the estate.</w:t>
            </w:r>
          </w:p>
        </w:tc>
        <w:tc>
          <w:tcPr>
            <w:tcW w:type="dxa" w:w="3460"/>
            <w:tcMar>
              <w:top w:type="dxa" w:w="74"/>
              <w:left w:type="dxa" w:w="120"/>
              <w:bottom w:type="dxa" w:w="74"/>
              <w:right w:type="dxa" w:w="120"/>
            </w:tcMar>
            <w:vAlign w:val="center"/>
          </w:tcPr>
          <w:p>
            <w:pPr>
              <w:spacing w:after="0" w:line="250"/>
              <w:jc w:val="left"/>
            </w:pPr>
            <w:r>
              <w:rPr>
                <w:color w:val="1A1A1A"/>
                <w:sz w:val="17"/>
                <w:szCs w:val="17"/>
              </w:rPr>
              <w:t xml:space="preserve">One approved rounding utility. A static analysis rule that fails the build on any direct call to round(), bround() or setScale() outside it.</w:t>
            </w:r>
          </w:p>
        </w:tc>
      </w:tr>
      <w:tr>
        <w:tc>
          <w:tcPr>
            <w:tcW w:type="dxa" w:w="25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Undocumented legacy sequence</w:t>
            </w:r>
          </w:p>
        </w:tc>
        <w:tc>
          <w:tcPr>
            <w:tcW w:type="dxa" w:w="3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The COBOL pipeline sorts, then walks a single stream carrying running balances, tier counters and threshold crossings. That sequence is a specification nobody wrote down; it lives in JCL SORT control cards.</w:t>
            </w:r>
          </w:p>
        </w:tc>
        <w:tc>
          <w:tcPr>
            <w:tcW w:type="dxa" w:w="34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Extract and version the sort keys from the SORT cards as a first-class deliverable before any recode begins. Make the ordering an explicit artefact under change control.</w:t>
            </w:r>
          </w:p>
        </w:tc>
      </w:tr>
    </w:tbl>
    <w:p>
      <w:pPr>
        <w:spacing w:after="118" w:before="0" w:line="264"/>
      </w:pPr>
      <w:r>
        <w:rPr>
          <w:color w:val="1A1A1A"/>
          <w:sz w:val="21"/>
          <w:szCs w:val="21"/>
        </w:rPr>
        <w:t xml:space="preserve">Why this matters more here than elsewhere: in an analytics workload a $0.003 drift on a $4M month-end total is noise. Under a penny-exact parity gate it stops the release. Worse, it may not reproduce — it appears when a task is retried, when the cluster autoscales differently, or when the optimiser picks a different plan for the same query on a larger input. Non-reproducible defects in a parity programme consume effort out of all proportion to their financial magnitude, because every hour spent chasing one is an hour not spent migrating the next application.</w:t>
      </w:r>
    </w:p>
    <w:p>
      <w:pPr>
        <w:spacing w:after="118" w:before="0" w:line="264"/>
      </w:pPr>
      <w:r>
        <w:rPr>
          <w:i/>
          <w:iCs/>
          <w:color w:val="33475B"/>
          <w:sz w:val="21"/>
          <w:szCs w:val="21"/>
        </w:rPr>
        <w:t xml:space="preserve">The mitigations above do work. But note what they cost. Fixed partitioning by business key, banned expressions, explicit casts at every boundary, disabled adaptive execution, a single rounding point and ANSI mode forced on — taken together, these constrain Spark to behave like a set of independent sequential processors. That is a defensible engineering position, and it is precisely what Spring Batch remote partitioning provides by construction, in a language whose decimal type has no cap and whose rounding is never implicit. If the answer is “run Spark deterministically”, the programme has paid Spark's complexity and kept none of its freedom.</w:t>
      </w:r>
    </w:p>
    <w:p>
      <w:pPr>
        <w:pStyle w:val="Heading1"/>
        <w:spacing w:after="130" w:before="280"/>
      </w:pPr>
      <w:r>
        <w:rPr>
          <w:b/>
          <w:bCs/>
          <w:color w:val="0B2E4F"/>
          <w:sz w:val="28"/>
          <w:szCs w:val="28"/>
        </w:rPr>
        <w:t xml:space="preserve">7.  Scored Comparison</w:t>
      </w:r>
    </w:p>
    <w:p>
      <w:pPr>
        <w:spacing w:after="118" w:before="0" w:line="264"/>
      </w:pPr>
      <w:r>
        <w:rPr>
          <w:color w:val="1A1A1A"/>
          <w:sz w:val="21"/>
          <w:szCs w:val="21"/>
        </w:rPr>
        <w:t xml:space="preserve">Scores are 1–5 per the anchors in Section 3. Each cell shows the raw score with the weighted contribution in brackets. The fourth option is the recommended zoned architecture and is shown for comparison; it is not a fourth language but a defined composition of the first and third.</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3060"/>
        <w:gridCol w:w="700"/>
        <w:gridCol w:w="1400"/>
        <w:gridCol w:w="1400"/>
        <w:gridCol w:w="1400"/>
        <w:gridCol w:w="1400"/>
      </w:tblGrid>
      <w:tr>
        <w:trPr>
          <w:tblHeader/>
        </w:trPr>
        <w:tc>
          <w:tcPr>
            <w:tcW w:type="dxa" w:w="306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Criterion</w:t>
            </w:r>
          </w:p>
        </w:tc>
        <w:tc>
          <w:tcPr>
            <w:tcW w:type="dxa" w:w="700"/>
            <w:shd w:fill="0B2E4F" w:color="auto" w:val="clear"/>
            <w:tcMar>
              <w:top w:type="dxa" w:w="74"/>
              <w:left w:type="dxa" w:w="120"/>
              <w:bottom w:type="dxa" w:w="74"/>
              <w:right w:type="dxa" w:w="120"/>
            </w:tcMar>
            <w:vAlign w:val="center"/>
          </w:tcPr>
          <w:p>
            <w:pPr>
              <w:spacing w:after="0" w:line="250"/>
              <w:jc w:val="center"/>
            </w:pPr>
            <w:r>
              <w:rPr>
                <w:b/>
                <w:bCs/>
                <w:color w:val="FFFFFF"/>
                <w:sz w:val="18"/>
                <w:szCs w:val="18"/>
              </w:rPr>
              <w:t xml:space="preserve">Wt</w:t>
            </w:r>
          </w:p>
        </w:tc>
        <w:tc>
          <w:tcPr>
            <w:tcW w:type="dxa" w:w="1400"/>
            <w:shd w:fill="0B2E4F" w:color="auto" w:val="clear"/>
            <w:tcMar>
              <w:top w:type="dxa" w:w="74"/>
              <w:left w:type="dxa" w:w="120"/>
              <w:bottom w:type="dxa" w:w="74"/>
              <w:right w:type="dxa" w:w="120"/>
            </w:tcMar>
            <w:vAlign w:val="center"/>
          </w:tcPr>
          <w:p>
            <w:pPr>
              <w:spacing w:after="0" w:line="250"/>
              <w:jc w:val="center"/>
            </w:pPr>
            <w:r>
              <w:rPr>
                <w:b/>
                <w:bCs/>
                <w:color w:val="FFFFFF"/>
                <w:sz w:val="18"/>
                <w:szCs w:val="18"/>
              </w:rPr>
              <w:t xml:space="preserve">Java</w:t>
            </w:r>
          </w:p>
        </w:tc>
        <w:tc>
          <w:tcPr>
            <w:tcW w:type="dxa" w:w="1400"/>
            <w:shd w:fill="0B2E4F" w:color="auto" w:val="clear"/>
            <w:tcMar>
              <w:top w:type="dxa" w:w="74"/>
              <w:left w:type="dxa" w:w="120"/>
              <w:bottom w:type="dxa" w:w="74"/>
              <w:right w:type="dxa" w:w="120"/>
            </w:tcMar>
            <w:vAlign w:val="center"/>
          </w:tcPr>
          <w:p>
            <w:pPr>
              <w:spacing w:after="0" w:line="250"/>
              <w:jc w:val="center"/>
            </w:pPr>
            <w:r>
              <w:rPr>
                <w:b/>
                <w:bCs/>
                <w:color w:val="FFFFFF"/>
                <w:sz w:val="18"/>
                <w:szCs w:val="18"/>
              </w:rPr>
              <w:t xml:space="preserve">Python</w:t>
            </w:r>
          </w:p>
        </w:tc>
        <w:tc>
          <w:tcPr>
            <w:tcW w:type="dxa" w:w="1400"/>
            <w:shd w:fill="0B2E4F" w:color="auto" w:val="clear"/>
            <w:tcMar>
              <w:top w:type="dxa" w:w="74"/>
              <w:left w:type="dxa" w:w="120"/>
              <w:bottom w:type="dxa" w:w="74"/>
              <w:right w:type="dxa" w:w="120"/>
            </w:tcMar>
            <w:vAlign w:val="center"/>
          </w:tcPr>
          <w:p>
            <w:pPr>
              <w:spacing w:after="0" w:line="250"/>
              <w:jc w:val="center"/>
            </w:pPr>
            <w:r>
              <w:rPr>
                <w:b/>
                <w:bCs/>
                <w:color w:val="FFFFFF"/>
                <w:sz w:val="18"/>
                <w:szCs w:val="18"/>
              </w:rPr>
              <w:t xml:space="preserve">PySpark</w:t>
            </w:r>
          </w:p>
        </w:tc>
        <w:tc>
          <w:tcPr>
            <w:tcW w:type="dxa" w:w="1400"/>
            <w:shd w:fill="0B2E4F" w:color="auto" w:val="clear"/>
            <w:tcMar>
              <w:top w:type="dxa" w:w="74"/>
              <w:left w:type="dxa" w:w="120"/>
              <w:bottom w:type="dxa" w:w="74"/>
              <w:right w:type="dxa" w:w="120"/>
            </w:tcMar>
            <w:vAlign w:val="center"/>
          </w:tcPr>
          <w:p>
            <w:pPr>
              <w:spacing w:after="0" w:line="250"/>
              <w:jc w:val="center"/>
            </w:pPr>
            <w:r>
              <w:rPr>
                <w:b/>
                <w:bCs/>
                <w:color w:val="FFFFFF"/>
                <w:sz w:val="18"/>
                <w:szCs w:val="18"/>
              </w:rPr>
              <w:t xml:space="preserve">Zoned hybrid (rec.)</w:t>
            </w:r>
          </w:p>
        </w:tc>
      </w:tr>
      <w:tr>
        <w:tc>
          <w:tcPr>
            <w:tcW w:type="dxa" w:w="3060"/>
            <w:tcMar>
              <w:top w:type="dxa" w:w="74"/>
              <w:left w:type="dxa" w:w="120"/>
              <w:bottom w:type="dxa" w:w="74"/>
              <w:right w:type="dxa" w:w="120"/>
            </w:tcMar>
            <w:vAlign w:val="center"/>
          </w:tcPr>
          <w:p>
            <w:pPr>
              <w:spacing w:after="0" w:line="250"/>
              <w:jc w:val="left"/>
            </w:pPr>
            <w:r>
              <w:rPr>
                <w:b/>
                <w:bCs/>
                <w:color w:val="1A1A1A"/>
                <w:sz w:val="17"/>
                <w:szCs w:val="17"/>
              </w:rPr>
              <w:t xml:space="preserve">a. Performance for high-volume batch</w:t>
            </w:r>
          </w:p>
        </w:tc>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15</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4 (60)</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2 (30)</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5 (75)</w:t>
            </w:r>
          </w:p>
        </w:tc>
        <w:tc>
          <w:tcPr>
            <w:tcW w:type="dxa" w:w="1400"/>
            <w:shd w:fill="E4EFE6" w:color="auto" w:val="clear"/>
            <w:tcMar>
              <w:top w:type="dxa" w:w="74"/>
              <w:left w:type="dxa" w:w="120"/>
              <w:bottom w:type="dxa" w:w="74"/>
              <w:right w:type="dxa" w:w="120"/>
            </w:tcMar>
            <w:vAlign w:val="center"/>
          </w:tcPr>
          <w:p>
            <w:pPr>
              <w:spacing w:after="0" w:line="250"/>
              <w:jc w:val="center"/>
            </w:pPr>
            <w:r>
              <w:rPr>
                <w:color w:val="1A1A1A"/>
                <w:sz w:val="17"/>
                <w:szCs w:val="17"/>
              </w:rPr>
              <w:t xml:space="preserve">5 (75)</w:t>
            </w:r>
          </w:p>
        </w:tc>
      </w:tr>
      <w:tr>
        <w:tc>
          <w:tcPr>
            <w:tcW w:type="dxa" w:w="30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b. Horizontal and vertical scalability</w:t>
            </w:r>
          </w:p>
        </w:tc>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12</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4 (48)</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3 (36)</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5 (60)</w:t>
            </w:r>
          </w:p>
        </w:tc>
        <w:tc>
          <w:tcPr>
            <w:tcW w:type="dxa" w:w="1400"/>
            <w:shd w:fill="E4EFE6" w:color="auto" w:val="clear"/>
            <w:tcMar>
              <w:top w:type="dxa" w:w="74"/>
              <w:left w:type="dxa" w:w="120"/>
              <w:bottom w:type="dxa" w:w="74"/>
              <w:right w:type="dxa" w:w="120"/>
            </w:tcMar>
            <w:vAlign w:val="center"/>
          </w:tcPr>
          <w:p>
            <w:pPr>
              <w:spacing w:after="0" w:line="250"/>
              <w:jc w:val="center"/>
            </w:pPr>
            <w:r>
              <w:rPr>
                <w:color w:val="1A1A1A"/>
                <w:sz w:val="17"/>
                <w:szCs w:val="17"/>
              </w:rPr>
              <w:t xml:space="preserve">5 (60)</w:t>
            </w:r>
          </w:p>
        </w:tc>
      </w:tr>
      <w:tr>
        <w:tc>
          <w:tcPr>
            <w:tcW w:type="dxa" w:w="3060"/>
            <w:tcMar>
              <w:top w:type="dxa" w:w="74"/>
              <w:left w:type="dxa" w:w="120"/>
              <w:bottom w:type="dxa" w:w="74"/>
              <w:right w:type="dxa" w:w="120"/>
            </w:tcMar>
            <w:vAlign w:val="center"/>
          </w:tcPr>
          <w:p>
            <w:pPr>
              <w:spacing w:after="0" w:line="250"/>
              <w:jc w:val="left"/>
            </w:pPr>
            <w:r>
              <w:rPr>
                <w:b/>
                <w:bCs/>
                <w:color w:val="1A1A1A"/>
                <w:sz w:val="17"/>
                <w:szCs w:val="17"/>
              </w:rPr>
              <w:t xml:space="preserve">c. Maintainability and talent availability</w:t>
            </w:r>
          </w:p>
        </w:tc>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12</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5 (60)</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3 (36)</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3 (36)</w:t>
            </w:r>
          </w:p>
        </w:tc>
        <w:tc>
          <w:tcPr>
            <w:tcW w:type="dxa" w:w="1400"/>
            <w:shd w:fill="E4EFE6" w:color="auto" w:val="clear"/>
            <w:tcMar>
              <w:top w:type="dxa" w:w="74"/>
              <w:left w:type="dxa" w:w="120"/>
              <w:bottom w:type="dxa" w:w="74"/>
              <w:right w:type="dxa" w:w="120"/>
            </w:tcMar>
            <w:vAlign w:val="center"/>
          </w:tcPr>
          <w:p>
            <w:pPr>
              <w:spacing w:after="0" w:line="250"/>
              <w:jc w:val="center"/>
            </w:pPr>
            <w:r>
              <w:rPr>
                <w:color w:val="1A1A1A"/>
                <w:sz w:val="17"/>
                <w:szCs w:val="17"/>
              </w:rPr>
              <w:t xml:space="preserve">4 (48)</w:t>
            </w:r>
          </w:p>
        </w:tc>
      </w:tr>
      <w:tr>
        <w:tc>
          <w:tcPr>
            <w:tcW w:type="dxa" w:w="30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d. Decimal correctness and auditability</w:t>
            </w:r>
          </w:p>
        </w:tc>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20</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5 (100)</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4 (80)</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2 (40)</w:t>
            </w:r>
          </w:p>
        </w:tc>
        <w:tc>
          <w:tcPr>
            <w:tcW w:type="dxa" w:w="1400"/>
            <w:shd w:fill="E4EFE6" w:color="auto" w:val="clear"/>
            <w:tcMar>
              <w:top w:type="dxa" w:w="74"/>
              <w:left w:type="dxa" w:w="120"/>
              <w:bottom w:type="dxa" w:w="74"/>
              <w:right w:type="dxa" w:w="120"/>
            </w:tcMar>
            <w:vAlign w:val="center"/>
          </w:tcPr>
          <w:p>
            <w:pPr>
              <w:spacing w:after="0" w:line="250"/>
              <w:jc w:val="center"/>
            </w:pPr>
            <w:r>
              <w:rPr>
                <w:color w:val="1A1A1A"/>
                <w:sz w:val="17"/>
                <w:szCs w:val="17"/>
              </w:rPr>
              <w:t xml:space="preserve">5 (100)</w:t>
            </w:r>
          </w:p>
        </w:tc>
      </w:tr>
      <w:tr>
        <w:tc>
          <w:tcPr>
            <w:tcW w:type="dxa" w:w="3060"/>
            <w:tcMar>
              <w:top w:type="dxa" w:w="74"/>
              <w:left w:type="dxa" w:w="120"/>
              <w:bottom w:type="dxa" w:w="74"/>
              <w:right w:type="dxa" w:w="120"/>
            </w:tcMar>
            <w:vAlign w:val="center"/>
          </w:tcPr>
          <w:p>
            <w:pPr>
              <w:spacing w:after="0" w:line="250"/>
              <w:jc w:val="left"/>
            </w:pPr>
            <w:r>
              <w:rPr>
                <w:b/>
                <w:bCs/>
                <w:color w:val="1A1A1A"/>
                <w:sz w:val="17"/>
                <w:szCs w:val="17"/>
              </w:rPr>
              <w:t xml:space="preserve">e. Fit with AWS managed services</w:t>
            </w:r>
          </w:p>
        </w:tc>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10</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4 (40)</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3 (30)</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5 (50)</w:t>
            </w:r>
          </w:p>
        </w:tc>
        <w:tc>
          <w:tcPr>
            <w:tcW w:type="dxa" w:w="1400"/>
            <w:shd w:fill="E4EFE6" w:color="auto" w:val="clear"/>
            <w:tcMar>
              <w:top w:type="dxa" w:w="74"/>
              <w:left w:type="dxa" w:w="120"/>
              <w:bottom w:type="dxa" w:w="74"/>
              <w:right w:type="dxa" w:w="120"/>
            </w:tcMar>
            <w:vAlign w:val="center"/>
          </w:tcPr>
          <w:p>
            <w:pPr>
              <w:spacing w:after="0" w:line="250"/>
              <w:jc w:val="center"/>
            </w:pPr>
            <w:r>
              <w:rPr>
                <w:color w:val="1A1A1A"/>
                <w:sz w:val="17"/>
                <w:szCs w:val="17"/>
              </w:rPr>
              <w:t xml:space="preserve">5 (50)</w:t>
            </w:r>
          </w:p>
        </w:tc>
      </w:tr>
      <w:tr>
        <w:tc>
          <w:tcPr>
            <w:tcW w:type="dxa" w:w="30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f. Parity testing and determinism</w:t>
            </w:r>
          </w:p>
        </w:tc>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18</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5 (90)</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4 (72)</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2 (36)</w:t>
            </w:r>
          </w:p>
        </w:tc>
        <w:tc>
          <w:tcPr>
            <w:tcW w:type="dxa" w:w="1400"/>
            <w:shd w:fill="E4EFE6" w:color="auto" w:val="clear"/>
            <w:tcMar>
              <w:top w:type="dxa" w:w="74"/>
              <w:left w:type="dxa" w:w="120"/>
              <w:bottom w:type="dxa" w:w="74"/>
              <w:right w:type="dxa" w:w="120"/>
            </w:tcMar>
            <w:vAlign w:val="center"/>
          </w:tcPr>
          <w:p>
            <w:pPr>
              <w:spacing w:after="0" w:line="250"/>
              <w:jc w:val="center"/>
            </w:pPr>
            <w:r>
              <w:rPr>
                <w:color w:val="1A1A1A"/>
                <w:sz w:val="17"/>
                <w:szCs w:val="17"/>
              </w:rPr>
              <w:t xml:space="preserve">5 (90)</w:t>
            </w:r>
          </w:p>
        </w:tc>
      </w:tr>
      <w:tr>
        <w:tc>
          <w:tcPr>
            <w:tcW w:type="dxa" w:w="3060"/>
            <w:tcMar>
              <w:top w:type="dxa" w:w="74"/>
              <w:left w:type="dxa" w:w="120"/>
              <w:bottom w:type="dxa" w:w="74"/>
              <w:right w:type="dxa" w:w="120"/>
            </w:tcMar>
            <w:vAlign w:val="center"/>
          </w:tcPr>
          <w:p>
            <w:pPr>
              <w:spacing w:after="0" w:line="250"/>
              <w:jc w:val="left"/>
            </w:pPr>
            <w:r>
              <w:rPr>
                <w:b/>
                <w:bCs/>
                <w:color w:val="1A1A1A"/>
                <w:sz w:val="17"/>
                <w:szCs w:val="17"/>
              </w:rPr>
              <w:t xml:space="preserve">g. Operational and observability maturity</w:t>
            </w:r>
          </w:p>
        </w:tc>
        <w:tc>
          <w:tcPr>
            <w:tcW w:type="dxa" w:w="700"/>
            <w:tcMar>
              <w:top w:type="dxa" w:w="74"/>
              <w:left w:type="dxa" w:w="120"/>
              <w:bottom w:type="dxa" w:w="74"/>
              <w:right w:type="dxa" w:w="120"/>
            </w:tcMar>
            <w:vAlign w:val="center"/>
          </w:tcPr>
          <w:p>
            <w:pPr>
              <w:spacing w:after="0" w:line="250"/>
              <w:jc w:val="center"/>
            </w:pPr>
            <w:r>
              <w:rPr>
                <w:color w:val="1A1A1A"/>
                <w:sz w:val="17"/>
                <w:szCs w:val="17"/>
              </w:rPr>
              <w:t xml:space="preserve">8</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5 (40)</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3 (24)</w:t>
            </w:r>
          </w:p>
        </w:tc>
        <w:tc>
          <w:tcPr>
            <w:tcW w:type="dxa" w:w="1400"/>
            <w:tcMar>
              <w:top w:type="dxa" w:w="74"/>
              <w:left w:type="dxa" w:w="120"/>
              <w:bottom w:type="dxa" w:w="74"/>
              <w:right w:type="dxa" w:w="120"/>
            </w:tcMar>
            <w:vAlign w:val="center"/>
          </w:tcPr>
          <w:p>
            <w:pPr>
              <w:spacing w:after="0" w:line="250"/>
              <w:jc w:val="center"/>
            </w:pPr>
            <w:r>
              <w:rPr>
                <w:color w:val="1A1A1A"/>
                <w:sz w:val="17"/>
                <w:szCs w:val="17"/>
              </w:rPr>
              <w:t xml:space="preserve">4 (32)</w:t>
            </w:r>
          </w:p>
        </w:tc>
        <w:tc>
          <w:tcPr>
            <w:tcW w:type="dxa" w:w="1400"/>
            <w:shd w:fill="E4EFE6" w:color="auto" w:val="clear"/>
            <w:tcMar>
              <w:top w:type="dxa" w:w="74"/>
              <w:left w:type="dxa" w:w="120"/>
              <w:bottom w:type="dxa" w:w="74"/>
              <w:right w:type="dxa" w:w="120"/>
            </w:tcMar>
            <w:vAlign w:val="center"/>
          </w:tcPr>
          <w:p>
            <w:pPr>
              <w:spacing w:after="0" w:line="250"/>
              <w:jc w:val="center"/>
            </w:pPr>
            <w:r>
              <w:rPr>
                <w:color w:val="1A1A1A"/>
                <w:sz w:val="17"/>
                <w:szCs w:val="17"/>
              </w:rPr>
              <w:t xml:space="preserve">4 (32)</w:t>
            </w:r>
          </w:p>
        </w:tc>
      </w:tr>
      <w:tr>
        <w:tc>
          <w:tcPr>
            <w:tcW w:type="dxa" w:w="306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h. Alignment to Java-by-default constraint</w:t>
            </w:r>
          </w:p>
        </w:tc>
        <w:tc>
          <w:tcPr>
            <w:tcW w:type="dxa" w:w="7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5</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5 (25)</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2 (10)</w:t>
            </w:r>
          </w:p>
        </w:tc>
        <w:tc>
          <w:tcPr>
            <w:tcW w:type="dxa" w:w="1400"/>
            <w:shd w:fill="EEF2F6" w:color="auto" w:val="clear"/>
            <w:tcMar>
              <w:top w:type="dxa" w:w="74"/>
              <w:left w:type="dxa" w:w="120"/>
              <w:bottom w:type="dxa" w:w="74"/>
              <w:right w:type="dxa" w:w="120"/>
            </w:tcMar>
            <w:vAlign w:val="center"/>
          </w:tcPr>
          <w:p>
            <w:pPr>
              <w:spacing w:after="0" w:line="250"/>
              <w:jc w:val="center"/>
            </w:pPr>
            <w:r>
              <w:rPr>
                <w:color w:val="1A1A1A"/>
                <w:sz w:val="17"/>
                <w:szCs w:val="17"/>
              </w:rPr>
              <w:t xml:space="preserve">2 (10)</w:t>
            </w:r>
          </w:p>
        </w:tc>
        <w:tc>
          <w:tcPr>
            <w:tcW w:type="dxa" w:w="1400"/>
            <w:shd w:fill="E4EFE6" w:color="auto" w:val="clear"/>
            <w:tcMar>
              <w:top w:type="dxa" w:w="74"/>
              <w:left w:type="dxa" w:w="120"/>
              <w:bottom w:type="dxa" w:w="74"/>
              <w:right w:type="dxa" w:w="120"/>
            </w:tcMar>
            <w:vAlign w:val="center"/>
          </w:tcPr>
          <w:p>
            <w:pPr>
              <w:spacing w:after="0" w:line="250"/>
              <w:jc w:val="center"/>
            </w:pPr>
            <w:r>
              <w:rPr>
                <w:color w:val="1A1A1A"/>
                <w:sz w:val="17"/>
                <w:szCs w:val="17"/>
              </w:rPr>
              <w:t xml:space="preserve">5 (25)</w:t>
            </w:r>
          </w:p>
        </w:tc>
      </w:tr>
      <w:tr>
        <w:tc>
          <w:tcPr>
            <w:tcW w:type="dxa" w:w="3060"/>
            <w:shd w:fill="DCE6F1" w:color="auto" w:val="clear"/>
            <w:tcMar>
              <w:top w:type="dxa" w:w="74"/>
              <w:left w:type="dxa" w:w="120"/>
              <w:bottom w:type="dxa" w:w="74"/>
              <w:right w:type="dxa" w:w="120"/>
            </w:tcMar>
            <w:vAlign w:val="center"/>
          </w:tcPr>
          <w:p>
            <w:pPr>
              <w:spacing w:after="0" w:line="250"/>
              <w:jc w:val="left"/>
            </w:pPr>
            <w:r>
              <w:rPr>
                <w:b/>
                <w:bCs/>
                <w:color w:val="1A1A1A"/>
                <w:sz w:val="17"/>
                <w:szCs w:val="17"/>
              </w:rPr>
              <w:t xml:space="preserve">Weighted total (out of 100)</w:t>
            </w:r>
          </w:p>
        </w:tc>
        <w:tc>
          <w:tcPr>
            <w:tcW w:type="dxa" w:w="7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100</w:t>
            </w:r>
          </w:p>
        </w:tc>
        <w:tc>
          <w:tcPr>
            <w:tcW w:type="dxa" w:w="14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92.6</w:t>
            </w:r>
          </w:p>
        </w:tc>
        <w:tc>
          <w:tcPr>
            <w:tcW w:type="dxa" w:w="14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63.6</w:t>
            </w:r>
          </w:p>
        </w:tc>
        <w:tc>
          <w:tcPr>
            <w:tcW w:type="dxa" w:w="14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67.8</w:t>
            </w:r>
          </w:p>
        </w:tc>
        <w:tc>
          <w:tcPr>
            <w:tcW w:type="dxa" w:w="14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96.0</w:t>
            </w:r>
          </w:p>
        </w:tc>
      </w:tr>
      <w:tr>
        <w:tc>
          <w:tcPr>
            <w:tcW w:type="dxa" w:w="3060"/>
            <w:shd w:fill="DCE6F1" w:color="auto" w:val="clear"/>
            <w:tcMar>
              <w:top w:type="dxa" w:w="74"/>
              <w:left w:type="dxa" w:w="120"/>
              <w:bottom w:type="dxa" w:w="74"/>
              <w:right w:type="dxa" w:w="120"/>
            </w:tcMar>
            <w:vAlign w:val="center"/>
          </w:tcPr>
          <w:p>
            <w:pPr>
              <w:spacing w:after="0" w:line="250"/>
              <w:jc w:val="left"/>
            </w:pPr>
            <w:r>
              <w:rPr>
                <w:b/>
                <w:bCs/>
                <w:color w:val="1A1A1A"/>
                <w:sz w:val="17"/>
                <w:szCs w:val="17"/>
              </w:rPr>
              <w:t xml:space="preserve">Rank</w:t>
            </w:r>
          </w:p>
        </w:tc>
        <w:tc>
          <w:tcPr>
            <w:tcW w:type="dxa" w:w="7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w:t>
            </w:r>
          </w:p>
        </w:tc>
        <w:tc>
          <w:tcPr>
            <w:tcW w:type="dxa" w:w="14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1 (of the three)</w:t>
            </w:r>
          </w:p>
        </w:tc>
        <w:tc>
          <w:tcPr>
            <w:tcW w:type="dxa" w:w="14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3</w:t>
            </w:r>
          </w:p>
        </w:tc>
        <w:tc>
          <w:tcPr>
            <w:tcW w:type="dxa" w:w="14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2</w:t>
            </w:r>
          </w:p>
        </w:tc>
        <w:tc>
          <w:tcPr>
            <w:tcW w:type="dxa" w:w="1400"/>
            <w:shd w:fill="DCE6F1" w:color="auto" w:val="clear"/>
            <w:tcMar>
              <w:top w:type="dxa" w:w="74"/>
              <w:left w:type="dxa" w:w="120"/>
              <w:bottom w:type="dxa" w:w="74"/>
              <w:right w:type="dxa" w:w="120"/>
            </w:tcMar>
            <w:vAlign w:val="center"/>
          </w:tcPr>
          <w:p>
            <w:pPr>
              <w:spacing w:after="0" w:line="250"/>
              <w:jc w:val="center"/>
            </w:pPr>
            <w:r>
              <w:rPr>
                <w:color w:val="1A1A1A"/>
                <w:sz w:val="17"/>
                <w:szCs w:val="17"/>
              </w:rPr>
              <w:t xml:space="preserve">Recommended</w:t>
            </w:r>
          </w:p>
        </w:tc>
      </w:tr>
    </w:tbl>
    <w:p>
      <w:pPr>
        <w:spacing w:after="118" w:before="0" w:line="264"/>
      </w:pPr>
      <w:r>
        <w:rPr>
          <w:color w:val="1A1A1A"/>
          <w:sz w:val="21"/>
          <w:szCs w:val="21"/>
        </w:rPr>
        <w:t xml:space="preserve">Reading the table: PySpark wins outright on performance, scalability and managed-service fit — 37 of the available points — and loses on decimal correctness and determinism, which together carry 38. That is the entire decision in one sentence. Python neither wins a category nor avoids losing several; it is dominated by Java on every criterion that matters to this workload and is not recommended as the primary implementation language. The zoned hybrid takes PySpark's throughput points without its arithmetic risk, at a cost of one point on maintainability (two skill pools) and one on operational maturity (two observability stacks).</w:t>
      </w:r>
    </w:p>
    <w:p>
      <w:pPr>
        <w:pStyle w:val="Heading1"/>
        <w:spacing w:after="130" w:before="280"/>
      </w:pPr>
      <w:r>
        <w:rPr>
          <w:b/>
          <w:bCs/>
          <w:color w:val="0B2E4F"/>
          <w:sz w:val="28"/>
          <w:szCs w:val="28"/>
        </w:rPr>
        <w:t xml:space="preserve">8.  Recommendation: A Zoned Architecture with a Java Money Path</w:t>
      </w:r>
    </w:p>
    <w:p>
      <w:pPr>
        <w:spacing w:after="118" w:before="0" w:line="264"/>
      </w:pPr>
      <w:r>
        <w:rPr>
          <w:color w:val="1A1A1A"/>
          <w:sz w:val="21"/>
          <w:szCs w:val="21"/>
        </w:rPr>
        <w:t xml:space="preserve">Split the workload into three zones with an enforced contract at each boundary. The zone a component belongs to is determined by one question: does it produce or alter a number that appears on a bill or a settlement statement?</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1500"/>
        <w:gridCol w:w="4560"/>
        <w:gridCol w:w="3300"/>
      </w:tblGrid>
      <w:tr>
        <w:trPr>
          <w:tblHeader/>
        </w:trPr>
        <w:tc>
          <w:tcPr>
            <w:tcW w:type="dxa" w:w="15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Zone</w:t>
            </w:r>
          </w:p>
        </w:tc>
        <w:tc>
          <w:tcPr>
            <w:tcW w:type="dxa" w:w="456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Scope</w:t>
            </w:r>
          </w:p>
        </w:tc>
        <w:tc>
          <w:tcPr>
            <w:tcW w:type="dxa" w:w="33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Runtime and rule</w:t>
            </w:r>
          </w:p>
        </w:tc>
      </w:tr>
      <w:tr>
        <w:tc>
          <w:tcPr>
            <w:tcW w:type="dxa" w:w="1500"/>
            <w:tcMar>
              <w:top w:type="dxa" w:w="74"/>
              <w:left w:type="dxa" w:w="120"/>
              <w:bottom w:type="dxa" w:w="74"/>
              <w:right w:type="dxa" w:w="120"/>
            </w:tcMar>
            <w:vAlign w:val="center"/>
          </w:tcPr>
          <w:p>
            <w:pPr>
              <w:spacing w:after="0" w:line="250"/>
              <w:jc w:val="left"/>
            </w:pPr>
            <w:r>
              <w:rPr>
                <w:b/>
                <w:bCs/>
                <w:color w:val="1A1A1A"/>
                <w:sz w:val="17"/>
                <w:szCs w:val="17"/>
              </w:rPr>
              <w:t xml:space="preserve">A — Money path</w:t>
            </w:r>
          </w:p>
        </w:tc>
        <w:tc>
          <w:tcPr>
            <w:tcW w:type="dxa" w:w="4560"/>
            <w:tcMar>
              <w:top w:type="dxa" w:w="74"/>
              <w:left w:type="dxa" w:w="120"/>
              <w:bottom w:type="dxa" w:w="74"/>
              <w:right w:type="dxa" w:w="120"/>
            </w:tcMar>
            <w:vAlign w:val="center"/>
          </w:tcPr>
          <w:p>
            <w:pPr>
              <w:spacing w:after="0" w:line="250"/>
              <w:jc w:val="left"/>
            </w:pPr>
            <w:r>
              <w:rPr>
                <w:color w:val="1A1A1A"/>
                <w:sz w:val="17"/>
                <w:szCs w:val="17"/>
              </w:rPr>
              <w:t xml:space="preserve">Rating, PIU/PLU jurisdictional split, meet-point revenue division, reciprocal compensation, discounts, minimums and true-ups, invoice assembly, settlement statement production, GL posting, restatement delta computation.</w:t>
            </w:r>
          </w:p>
        </w:tc>
        <w:tc>
          <w:tcPr>
            <w:tcW w:type="dxa" w:w="3300"/>
            <w:tcMar>
              <w:top w:type="dxa" w:w="74"/>
              <w:left w:type="dxa" w:w="120"/>
              <w:bottom w:type="dxa" w:w="74"/>
              <w:right w:type="dxa" w:w="120"/>
            </w:tcMar>
            <w:vAlign w:val="center"/>
          </w:tcPr>
          <w:p>
            <w:pPr>
              <w:spacing w:after="0" w:line="250"/>
              <w:jc w:val="left"/>
            </w:pPr>
            <w:r>
              <w:rPr>
                <w:color w:val="1A1A1A"/>
                <w:sz w:val="17"/>
                <w:szCs w:val="17"/>
              </w:rPr>
              <w:t xml:space="preserve">Java 21, Spring Boot, Spring Batch with remote partitioning on AWS Batch or ECS Fargate. All money in BigDecimal. One rounding point per invoice line. Mandatory.</w:t>
            </w:r>
          </w:p>
        </w:tc>
      </w:tr>
      <w:tr>
        <w:tc>
          <w:tcPr>
            <w:tcW w:type="dxa" w:w="15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B — Data plane</w:t>
            </w:r>
          </w:p>
        </w:tc>
        <w:tc>
          <w:tcPr>
            <w:tcW w:type="dxa" w:w="45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EMI/AMA fixed-length decode against the copybook, validation, deduplication, sort and partition, LERG and reference-data enrichment, guiding, working-set selection, restatement candidate selection across 24 months, archive to Iceberg, file-level control totals.</w:t>
            </w:r>
          </w:p>
        </w:tc>
        <w:tc>
          <w:tcPr>
            <w:tcW w:type="dxa" w:w="33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PySpark on AWS Glue 5.0 (Spark 3.5.4) for scheduled work; EMR Serverless for long-running restatement scans. No rounding, no money aggregation that reaches a bill. Permitted.</w:t>
            </w:r>
          </w:p>
        </w:tc>
      </w:tr>
      <w:tr>
        <w:tc>
          <w:tcPr>
            <w:tcW w:type="dxa" w:w="1500"/>
            <w:tcMar>
              <w:top w:type="dxa" w:w="74"/>
              <w:left w:type="dxa" w:w="120"/>
              <w:bottom w:type="dxa" w:w="74"/>
              <w:right w:type="dxa" w:w="120"/>
            </w:tcMar>
            <w:vAlign w:val="center"/>
          </w:tcPr>
          <w:p>
            <w:pPr>
              <w:spacing w:after="0" w:line="250"/>
              <w:jc w:val="left"/>
            </w:pPr>
            <w:r>
              <w:rPr>
                <w:b/>
                <w:bCs/>
                <w:color w:val="1A1A1A"/>
                <w:sz w:val="17"/>
                <w:szCs w:val="17"/>
              </w:rPr>
              <w:t xml:space="preserve">C — Assurance and analytics</w:t>
            </w:r>
          </w:p>
        </w:tc>
        <w:tc>
          <w:tcPr>
            <w:tcW w:type="dxa" w:w="4560"/>
            <w:tcMar>
              <w:top w:type="dxa" w:w="74"/>
              <w:left w:type="dxa" w:w="120"/>
              <w:bottom w:type="dxa" w:w="74"/>
              <w:right w:type="dxa" w:w="120"/>
            </w:tcMar>
            <w:vAlign w:val="center"/>
          </w:tcPr>
          <w:p>
            <w:pPr>
              <w:spacing w:after="0" w:line="250"/>
              <w:jc w:val="left"/>
            </w:pPr>
            <w:r>
              <w:rPr>
                <w:color w:val="1A1A1A"/>
                <w:sz w:val="17"/>
                <w:szCs w:val="17"/>
              </w:rPr>
              <w:t xml:space="preserve">Parity comparison harness, revenue assurance, variance and trend analytics, synthetic test-data generation, reconciliation and exception reporting, operational dashboards.</w:t>
            </w:r>
          </w:p>
        </w:tc>
        <w:tc>
          <w:tcPr>
            <w:tcW w:type="dxa" w:w="3300"/>
            <w:tcMar>
              <w:top w:type="dxa" w:w="74"/>
              <w:left w:type="dxa" w:w="120"/>
              <w:bottom w:type="dxa" w:w="74"/>
              <w:right w:type="dxa" w:w="120"/>
            </w:tcMar>
            <w:vAlign w:val="center"/>
          </w:tcPr>
          <w:p>
            <w:pPr>
              <w:spacing w:after="0" w:line="250"/>
              <w:jc w:val="left"/>
            </w:pPr>
            <w:r>
              <w:rPr>
                <w:color w:val="1A1A1A"/>
                <w:sz w:val="17"/>
                <w:szCs w:val="17"/>
              </w:rPr>
              <w:t xml:space="preserve">Python and PySpark. Deliberately an independent implementation from Zone A. Encouraged.</w:t>
            </w:r>
          </w:p>
        </w:tc>
      </w:tr>
    </w:tbl>
    <w:p>
      <w:pPr>
        <w:pStyle w:val="Heading2"/>
        <w:spacing w:after="95" w:before="220"/>
      </w:pPr>
      <w:r>
        <w:rPr>
          <w:b/>
          <w:bCs/>
          <w:color w:val="0B2E4F"/>
          <w:sz w:val="23"/>
          <w:szCs w:val="23"/>
        </w:rPr>
        <w:t xml:space="preserve">8.1  The boundary contract</w:t>
      </w:r>
    </w:p>
    <w:p>
      <w:pPr>
        <w:spacing w:after="118" w:before="0" w:line="264"/>
      </w:pPr>
      <w:r>
        <w:rPr>
          <w:color w:val="1A1A1A"/>
          <w:sz w:val="21"/>
          <w:szCs w:val="21"/>
        </w:rPr>
        <w:t xml:space="preserve">The zoning is only as good as the contract between the zones. Four rules, each testable in CI:</w:t>
      </w:r>
    </w:p>
    <w:p>
      <w:pPr>
        <w:pStyle w:val="ListParagraph"/>
        <w:numPr>
          <w:ilvl w:val="0"/>
          <w:numId w:val="3"/>
        </w:numPr>
        <w:spacing w:after="76" w:line="264"/>
      </w:pPr>
      <w:r>
        <w:rPr>
          <w:color w:val="1A1A1A"/>
          <w:sz w:val="21"/>
          <w:szCs w:val="21"/>
        </w:rPr>
        <w:t xml:space="preserve">Money crosses the Zone B to Zone A boundary as an exact decimal in a typed contract — a decimal logical type in Avro or Protobuf, or a plain string. Never a double, never a Parquet float, never a Spark DecimalType at or near the 38-digit cap.</w:t>
      </w:r>
    </w:p>
    <w:p>
      <w:pPr>
        <w:pStyle w:val="ListParagraph"/>
        <w:numPr>
          <w:ilvl w:val="0"/>
          <w:numId w:val="3"/>
        </w:numPr>
        <w:spacing w:after="76" w:line="264"/>
      </w:pPr>
      <w:r>
        <w:rPr>
          <w:color w:val="1A1A1A"/>
          <w:sz w:val="21"/>
          <w:szCs w:val="21"/>
        </w:rPr>
        <w:t xml:space="preserve">Zone A owns every rounding decision. No Zone B job may call round(), bround(), cast to a lower scale, or aggregate a money column that will subsequently appear on a bill.</w:t>
      </w:r>
    </w:p>
    <w:p>
      <w:pPr>
        <w:pStyle w:val="ListParagraph"/>
        <w:numPr>
          <w:ilvl w:val="0"/>
          <w:numId w:val="3"/>
        </w:numPr>
        <w:spacing w:after="76" w:line="264"/>
      </w:pPr>
      <w:r>
        <w:rPr>
          <w:color w:val="1A1A1A"/>
          <w:sz w:val="21"/>
          <w:szCs w:val="21"/>
        </w:rPr>
        <w:t xml:space="preserve">Zone B may aggregate money only for control totals and reconciliation. Those figures are labelled as such at the schema level and are structurally incapable of reaching an invoice.</w:t>
      </w:r>
    </w:p>
    <w:p>
      <w:pPr>
        <w:pStyle w:val="ListParagraph"/>
        <w:numPr>
          <w:ilvl w:val="0"/>
          <w:numId w:val="3"/>
        </w:numPr>
        <w:spacing w:after="76" w:line="264"/>
      </w:pPr>
      <w:r>
        <w:rPr>
          <w:color w:val="1A1A1A"/>
          <w:sz w:val="21"/>
          <w:szCs w:val="21"/>
        </w:rPr>
        <w:t xml:space="preserve">Every Zone B output carries a record count and a full-scale control total. Zone A verifies both on ingest and fails the run on any mismatch.</w:t>
      </w:r>
    </w:p>
    <w:p>
      <w:pPr>
        <w:pStyle w:val="Heading2"/>
        <w:spacing w:after="95" w:before="220"/>
      </w:pPr>
      <w:r>
        <w:rPr>
          <w:b/>
          <w:bCs/>
          <w:color w:val="0B2E4F"/>
          <w:sz w:val="23"/>
          <w:szCs w:val="23"/>
        </w:rPr>
        <w:t xml:space="preserve">8.2  Reference target shape</w:t>
      </w:r>
    </w:p>
    <w:p>
      <w:pPr>
        <w:spacing w:after="118" w:before="0" w:line="264"/>
      </w:pPr>
      <w:r>
        <w:rPr>
          <w:color w:val="1A1A1A"/>
          <w:sz w:val="21"/>
          <w:szCs w:val="21"/>
        </w:rPr>
        <w:t xml:space="preserve">Landing and decode: CDR files arrive on S3; a Glue job decodes the fixed-length EMI/AMA records against the copybook, validates, deduplicates against the bookmark, and writes Iceberg tables partitioned by billing date and OCN. Enrichment: a second Glue job joins reference data, assigns jurisdiction inputs, and materialises the working set for the cycle. Rating and settlement: a Spring Batch job with remote partitioning keyed on BAN and OCN, so every record affecting a given accumulator lands in one partition and is processed by one thread in a defined order; JobRepository in Aurora PostgreSQL; all arithmetic in BigDecimal; a single rounding point at invoice-line assembly. Output: invoices, settlement statements and GL postings produced in Java. Restatement: Glue selects the affected periods, Spring Batch recomputes them, and the delta is computed in Java against the stored original. Assurance: a PySpark harness compares legacy and target output at invoice-line grain.</w:t>
      </w:r>
    </w:p>
    <w:p>
      <w:pPr>
        <w:spacing w:after="118" w:before="0" w:line="264"/>
      </w:pPr>
      <w:r>
        <w:rPr>
          <w:color w:val="1A1A1A"/>
          <w:sz w:val="21"/>
          <w:szCs w:val="21"/>
        </w:rPr>
        <w:t xml:space="preserve">Building the parity harness in a different language from the engine is a control, not an inconsistency. A harness written in the same language, by the same team, from the same reading of the legacy specification tends to replicate the engine's misunderstanding. An independent implementation does not.</w:t>
      </w:r>
    </w:p>
    <w:p>
      <w:pPr>
        <w:pStyle w:val="Heading2"/>
        <w:spacing w:after="95" w:before="220"/>
      </w:pPr>
      <w:r>
        <w:rPr>
          <w:b/>
          <w:bCs/>
          <w:color w:val="0B2E4F"/>
          <w:sz w:val="23"/>
          <w:szCs w:val="23"/>
        </w:rPr>
        <w:t xml:space="preserve">8.3  Sizing</w:t>
      </w:r>
    </w:p>
    <w:p>
      <w:pPr>
        <w:spacing w:after="118" w:before="0" w:line="264"/>
      </w:pPr>
      <w:r>
        <w:rPr>
          <w:color w:val="1A1A1A"/>
          <w:sz w:val="21"/>
          <w:szCs w:val="21"/>
        </w:rPr>
        <w:t xml:space="preserve">At the 100M records per month target and a six-hour close window, the sustained requirement is approximately 4,600 records per second. Assuming a conservative 2,000–3,000 records per second per rating partition with rate tables held in memory — an engineering estimate to be confirmed by a spike, not a measured benchmark — the requirement is met by two to four partitions, with eight to sixteen providing substantial headroom for growth, re-runs and restatement. The arithmetic is not the constraint. The sort and the I/O are, and both belong in Zone B where the distributed engine is genuinely the better tool.</w:t>
      </w:r>
    </w:p>
    <w:p>
      <w:pPr>
        <w:pStyle w:val="Heading1"/>
        <w:spacing w:after="130" w:before="280"/>
      </w:pPr>
      <w:r>
        <w:rPr>
          <w:b/>
          <w:bCs/>
          <w:color w:val="0B2E4F"/>
          <w:sz w:val="28"/>
          <w:szCs w:val="28"/>
        </w:rPr>
        <w:t xml:space="preserve">9.  Where PySpark Earns Its Place — and Where It Must Not Go</w:t>
      </w:r>
    </w:p>
    <w:p>
      <w:pPr>
        <w:pStyle w:val="Heading3"/>
        <w:spacing w:after="78" w:before="170"/>
      </w:pPr>
      <w:r>
        <w:rPr>
          <w:b/>
          <w:bCs/>
          <w:color w:val="33475B"/>
          <w:sz w:val="21"/>
          <w:szCs w:val="21"/>
        </w:rPr>
        <w:t xml:space="preserve">PySpark is the right choice when all of the following hold</w:t>
      </w:r>
    </w:p>
    <w:p>
      <w:pPr>
        <w:pStyle w:val="ListParagraph"/>
        <w:numPr>
          <w:ilvl w:val="0"/>
          <w:numId w:val="2"/>
        </w:numPr>
        <w:spacing w:after="76" w:line="264"/>
      </w:pPr>
      <w:r>
        <w:rPr>
          <w:color w:val="1A1A1A"/>
          <w:sz w:val="21"/>
          <w:szCs w:val="21"/>
        </w:rPr>
        <w:t xml:space="preserve">The operation is set-oriented with no carried state: join, filter, project, deduplicate, sort, group and count.</w:t>
      </w:r>
    </w:p>
    <w:p>
      <w:pPr>
        <w:pStyle w:val="ListParagraph"/>
        <w:numPr>
          <w:ilvl w:val="0"/>
          <w:numId w:val="2"/>
        </w:numPr>
        <w:spacing w:after="76" w:line="264"/>
      </w:pPr>
      <w:r>
        <w:rPr>
          <w:color w:val="1A1A1A"/>
          <w:sz w:val="21"/>
          <w:szCs w:val="21"/>
        </w:rPr>
        <w:t xml:space="preserve">No rounding, truncation or scale reduction occurs, and no result of the operation is a money value that will appear on a bill without being re-derived in Zone A.</w:t>
      </w:r>
    </w:p>
    <w:p>
      <w:pPr>
        <w:pStyle w:val="ListParagraph"/>
        <w:numPr>
          <w:ilvl w:val="0"/>
          <w:numId w:val="2"/>
        </w:numPr>
        <w:spacing w:after="76" w:line="264"/>
      </w:pPr>
      <w:r>
        <w:rPr>
          <w:color w:val="1A1A1A"/>
          <w:sz w:val="21"/>
          <w:szCs w:val="21"/>
        </w:rPr>
        <w:t xml:space="preserve">The data volume in a single pass is large enough that a partitioned JVM batch would not clear the window — most obviously a 24-month restatement scan across the full CDR history.</w:t>
      </w:r>
    </w:p>
    <w:p>
      <w:pPr>
        <w:pStyle w:val="ListParagraph"/>
        <w:numPr>
          <w:ilvl w:val="0"/>
          <w:numId w:val="2"/>
        </w:numPr>
        <w:spacing w:after="76" w:line="264"/>
      </w:pPr>
      <w:r>
        <w:rPr>
          <w:color w:val="1A1A1A"/>
          <w:sz w:val="21"/>
          <w:szCs w:val="21"/>
        </w:rPr>
        <w:t xml:space="preserve">The output is verifiable by record count and full-scale control total, so the handoff to Zone A is checkable rather than trusted.</w:t>
      </w:r>
    </w:p>
    <w:p>
      <w:pPr>
        <w:pStyle w:val="Heading3"/>
        <w:spacing w:after="78" w:before="170"/>
      </w:pPr>
      <w:r>
        <w:rPr>
          <w:b/>
          <w:bCs/>
          <w:color w:val="33475B"/>
          <w:sz w:val="21"/>
          <w:szCs w:val="21"/>
        </w:rPr>
        <w:t xml:space="preserve">PySpark must not be used for any of the following</w:t>
      </w:r>
    </w:p>
    <w:p>
      <w:pPr>
        <w:pStyle w:val="ListParagraph"/>
        <w:numPr>
          <w:ilvl w:val="0"/>
          <w:numId w:val="2"/>
        </w:numPr>
        <w:spacing w:after="76" w:line="264"/>
      </w:pPr>
      <w:r>
        <w:rPr>
          <w:color w:val="1A1A1A"/>
          <w:sz w:val="21"/>
          <w:szCs w:val="21"/>
        </w:rPr>
        <w:t xml:space="preserve">Application of a fractional-cent rate to usage, or any multiplication chain involving jurisdiction factors and meet-point percentages.</w:t>
      </w:r>
    </w:p>
    <w:p>
      <w:pPr>
        <w:pStyle w:val="ListParagraph"/>
        <w:numPr>
          <w:ilvl w:val="0"/>
          <w:numId w:val="2"/>
        </w:numPr>
        <w:spacing w:after="76" w:line="264"/>
      </w:pPr>
      <w:r>
        <w:rPr>
          <w:color w:val="1A1A1A"/>
          <w:sz w:val="21"/>
          <w:szCs w:val="21"/>
        </w:rPr>
        <w:t xml:space="preserve">Any rounding or truncation whose result lands on an invoice or settlement statement.</w:t>
      </w:r>
    </w:p>
    <w:p>
      <w:pPr>
        <w:pStyle w:val="ListParagraph"/>
        <w:numPr>
          <w:ilvl w:val="0"/>
          <w:numId w:val="2"/>
        </w:numPr>
        <w:spacing w:after="76" w:line="264"/>
      </w:pPr>
      <w:r>
        <w:rPr>
          <w:color w:val="1A1A1A"/>
          <w:sz w:val="21"/>
          <w:szCs w:val="21"/>
        </w:rPr>
        <w:t xml:space="preserve">Sequence-dependent accumulators: tiered minute pricing, running balances, minimum-usage threshold crossings, first-N-units-at-rate-A logic.</w:t>
      </w:r>
    </w:p>
    <w:p>
      <w:pPr>
        <w:pStyle w:val="ListParagraph"/>
        <w:numPr>
          <w:ilvl w:val="0"/>
          <w:numId w:val="2"/>
        </w:numPr>
        <w:spacing w:after="76" w:line="264"/>
      </w:pPr>
      <w:r>
        <w:rPr>
          <w:color w:val="1A1A1A"/>
          <w:sz w:val="21"/>
          <w:szCs w:val="21"/>
        </w:rPr>
        <w:t xml:space="preserve">Meet-point split allocation where the residual penny must be assigned to a specific LEC by rule.</w:t>
      </w:r>
    </w:p>
    <w:p>
      <w:pPr>
        <w:pStyle w:val="ListParagraph"/>
        <w:numPr>
          <w:ilvl w:val="0"/>
          <w:numId w:val="2"/>
        </w:numPr>
        <w:spacing w:after="76" w:line="264"/>
      </w:pPr>
      <w:r>
        <w:rPr>
          <w:color w:val="1A1A1A"/>
          <w:sz w:val="21"/>
          <w:szCs w:val="21"/>
        </w:rPr>
        <w:t xml:space="preserve">Anything inside the scope of the penny-exact parity gate. If the acceptance test compares it field-for-field against the legacy, it belongs in Zone A.</w:t>
      </w:r>
    </w:p>
    <w:p>
      <w:pPr>
        <w:pStyle w:val="Heading1"/>
        <w:spacing w:after="130" w:before="280"/>
      </w:pPr>
      <w:r>
        <w:rPr>
          <w:b/>
          <w:bCs/>
          <w:color w:val="0B2E4F"/>
          <w:sz w:val="28"/>
          <w:szCs w:val="28"/>
        </w:rPr>
        <w:t xml:space="preserve">10.  Conditions Under Which the Runner-Up Becomes Correct</w:t>
      </w:r>
    </w:p>
    <w:p>
      <w:pPr>
        <w:spacing w:after="118" w:before="0" w:line="264"/>
      </w:pPr>
      <w:r>
        <w:rPr>
          <w:color w:val="1A1A1A"/>
          <w:sz w:val="21"/>
          <w:szCs w:val="21"/>
        </w:rPr>
        <w:t xml:space="preserve">A PySpark-primary target state — rating included — becomes the correct recommendation if any two of the following four conditions hold. Each is stated with the test that would confirm it, so this can be revisited on evidence rather than on preference.</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2600"/>
        <w:gridCol w:w="3600"/>
        <w:gridCol w:w="3160"/>
      </w:tblGrid>
      <w:tr>
        <w:trPr>
          <w:tblHeader/>
        </w:trPr>
        <w:tc>
          <w:tcPr>
            <w:tcW w:type="dxa" w:w="26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Condition</w:t>
            </w:r>
          </w:p>
        </w:tc>
        <w:tc>
          <w:tcPr>
            <w:tcW w:type="dxa" w:w="36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What changes</w:t>
            </w:r>
          </w:p>
        </w:tc>
        <w:tc>
          <w:tcPr>
            <w:tcW w:type="dxa" w:w="316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Test</w:t>
            </w:r>
          </w:p>
        </w:tc>
      </w:tr>
      <w:tr>
        <w:tc>
          <w:tcPr>
            <w:tcW w:type="dxa" w:w="2600"/>
            <w:tcMar>
              <w:top w:type="dxa" w:w="74"/>
              <w:left w:type="dxa" w:w="120"/>
              <w:bottom w:type="dxa" w:w="74"/>
              <w:right w:type="dxa" w:w="120"/>
            </w:tcMar>
            <w:vAlign w:val="center"/>
          </w:tcPr>
          <w:p>
            <w:pPr>
              <w:spacing w:after="0" w:line="250"/>
              <w:jc w:val="left"/>
            </w:pPr>
            <w:r>
              <w:rPr>
                <w:b/>
                <w:bCs/>
                <w:color w:val="1A1A1A"/>
                <w:sz w:val="17"/>
                <w:szCs w:val="17"/>
              </w:rPr>
              <w:t xml:space="preserve">Volume rises by an order of magnitude, to 1B+ records per month, and the close window contracts below four hours</w:t>
            </w:r>
          </w:p>
        </w:tc>
        <w:tc>
          <w:tcPr>
            <w:tcW w:type="dxa" w:w="3600"/>
            <w:tcMar>
              <w:top w:type="dxa" w:w="74"/>
              <w:left w:type="dxa" w:w="120"/>
              <w:bottom w:type="dxa" w:w="74"/>
              <w:right w:type="dxa" w:w="120"/>
            </w:tcMar>
            <w:vAlign w:val="center"/>
          </w:tcPr>
          <w:p>
            <w:pPr>
              <w:spacing w:after="0" w:line="250"/>
              <w:jc w:val="left"/>
            </w:pPr>
            <w:r>
              <w:rPr>
                <w:color w:val="1A1A1A"/>
                <w:sz w:val="17"/>
                <w:szCs w:val="17"/>
              </w:rPr>
              <w:t xml:space="preserve">The engineering cost of hardening Spark for determinism becomes smaller than the cost and complexity of fanning out Spring Batch to the required partition count.</w:t>
            </w:r>
          </w:p>
        </w:tc>
        <w:tc>
          <w:tcPr>
            <w:tcW w:type="dxa" w:w="3160"/>
            <w:tcMar>
              <w:top w:type="dxa" w:w="74"/>
              <w:left w:type="dxa" w:w="120"/>
              <w:bottom w:type="dxa" w:w="74"/>
              <w:right w:type="dxa" w:w="120"/>
            </w:tcMar>
            <w:vAlign w:val="center"/>
          </w:tcPr>
          <w:p>
            <w:pPr>
              <w:spacing w:after="0" w:line="250"/>
              <w:jc w:val="left"/>
            </w:pPr>
            <w:r>
              <w:rPr>
                <w:color w:val="1A1A1A"/>
                <w:sz w:val="17"/>
                <w:szCs w:val="17"/>
              </w:rPr>
              <w:t xml:space="preserve">Measured throughput of a partitioned Spring Batch rating step on representative data, extrapolated to the new volume and window.</w:t>
            </w:r>
          </w:p>
        </w:tc>
      </w:tr>
      <w:tr>
        <w:tc>
          <w:tcPr>
            <w:tcW w:type="dxa" w:w="26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The parity gate is relaxed from penny-exact to a defined tolerance, for example ±$0.01 per invoice line with an aggregate variance cap</w:t>
            </w:r>
          </w:p>
        </w:tc>
        <w:tc>
          <w:tcPr>
            <w:tcW w:type="dxa" w:w="36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Spark's precision-loss behaviour moves from a defect to a managed tolerance, and the determinism controls become good practice rather than a hard requirement.</w:t>
            </w:r>
          </w:p>
        </w:tc>
        <w:tc>
          <w:tcPr>
            <w:tcW w:type="dxa" w:w="31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A written, signed acceptance criterion from the business and from regulatory affairs. Not an engineering decision.</w:t>
            </w:r>
          </w:p>
        </w:tc>
      </w:tr>
      <w:tr>
        <w:tc>
          <w:tcPr>
            <w:tcW w:type="dxa" w:w="2600"/>
            <w:tcMar>
              <w:top w:type="dxa" w:w="74"/>
              <w:left w:type="dxa" w:w="120"/>
              <w:bottom w:type="dxa" w:w="74"/>
              <w:right w:type="dxa" w:w="120"/>
            </w:tcMar>
            <w:vAlign w:val="center"/>
          </w:tcPr>
          <w:p>
            <w:pPr>
              <w:spacing w:after="0" w:line="250"/>
              <w:jc w:val="left"/>
            </w:pPr>
            <w:r>
              <w:rPr>
                <w:b/>
                <w:bCs/>
                <w:color w:val="1A1A1A"/>
                <w:sz w:val="17"/>
                <w:szCs w:val="17"/>
              </w:rPr>
              <w:t xml:space="preserve">Functional parity is abandoned in favour of a re-specified target rating engine with newly written rules</w:t>
            </w:r>
          </w:p>
        </w:tc>
        <w:tc>
          <w:tcPr>
            <w:tcW w:type="dxa" w:w="3600"/>
            <w:tcMar>
              <w:top w:type="dxa" w:w="74"/>
              <w:left w:type="dxa" w:w="120"/>
              <w:bottom w:type="dxa" w:w="74"/>
              <w:right w:type="dxa" w:w="120"/>
            </w:tcMar>
            <w:vAlign w:val="center"/>
          </w:tcPr>
          <w:p>
            <w:pPr>
              <w:spacing w:after="0" w:line="250"/>
              <w:jc w:val="left"/>
            </w:pPr>
            <w:r>
              <w:rPr>
                <w:color w:val="1A1A1A"/>
                <w:sz w:val="17"/>
                <w:szCs w:val="17"/>
              </w:rPr>
              <w:t xml:space="preserve">The legacy processing sequence stops being a specification. The new engine can be designed to be order-independent from the outset.</w:t>
            </w:r>
          </w:p>
        </w:tc>
        <w:tc>
          <w:tcPr>
            <w:tcW w:type="dxa" w:w="3160"/>
            <w:tcMar>
              <w:top w:type="dxa" w:w="74"/>
              <w:left w:type="dxa" w:w="120"/>
              <w:bottom w:type="dxa" w:w="74"/>
              <w:right w:type="dxa" w:w="120"/>
            </w:tcMar>
            <w:vAlign w:val="center"/>
          </w:tcPr>
          <w:p>
            <w:pPr>
              <w:spacing w:after="0" w:line="250"/>
              <w:jc w:val="left"/>
            </w:pPr>
            <w:r>
              <w:rPr>
                <w:color w:val="1A1A1A"/>
                <w:sz w:val="17"/>
                <w:szCs w:val="17"/>
              </w:rPr>
              <w:t xml:space="preserve">An approved target rating specification that does not reference legacy behaviour as its source of truth.</w:t>
            </w:r>
          </w:p>
        </w:tc>
      </w:tr>
      <w:tr>
        <w:tc>
          <w:tcPr>
            <w:tcW w:type="dxa" w:w="26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The rating logic is confirmed genuinely stateless per CDR, with no tiering, no running balances, no division, and every money field fitting inside DECIMAL(38,s) with a fixed s</w:t>
            </w:r>
          </w:p>
        </w:tc>
        <w:tc>
          <w:tcPr>
            <w:tcW w:type="dxa" w:w="36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The two structural objections to Spark — scale reduction and order-sensitivity — both disappear. Spark can then be made deterministic with modest effort.</w:t>
            </w:r>
          </w:p>
        </w:tc>
        <w:tc>
          <w:tcPr>
            <w:tcW w:type="dxa" w:w="31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A complete arithmetic inventory of the COBOL money path: every COMPUTE, every ROUNDED, every division, every accumulator. This should be produced regardless.</w:t>
            </w:r>
          </w:p>
        </w:tc>
      </w:tr>
    </w:tbl>
    <w:p>
      <w:pPr>
        <w:spacing w:after="118" w:before="0" w:line="264"/>
      </w:pPr>
      <w:r>
        <w:rPr>
          <w:color w:val="1A1A1A"/>
          <w:sz w:val="21"/>
          <w:szCs w:val="21"/>
        </w:rPr>
        <w:t xml:space="preserve">For completeness, the conditions under which Python-primary becomes correct are narrow: an arithmetic core small enough for one team to hold in its head, a team already Python-native, a documented client exception to the Java-by-default rule, and a volume requirement at the low end of the stated range. Even then it wins nothing over Java except familiarity. It is not recommended.</w:t>
      </w:r>
    </w:p>
    <w:p>
      <w:pPr>
        <w:pStyle w:val="Heading1"/>
        <w:spacing w:after="130" w:before="280"/>
      </w:pPr>
      <w:r>
        <w:rPr>
          <w:b/>
          <w:bCs/>
          <w:color w:val="0B2E4F"/>
          <w:sz w:val="28"/>
          <w:szCs w:val="28"/>
        </w:rPr>
        <w:t xml:space="preserve">11.  Risks and Controls</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2600"/>
        <w:gridCol w:w="2400"/>
        <w:gridCol w:w="4360"/>
      </w:tblGrid>
      <w:tr>
        <w:trPr>
          <w:tblHeader/>
        </w:trPr>
        <w:tc>
          <w:tcPr>
            <w:tcW w:type="dxa" w:w="26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Risk</w:t>
            </w:r>
          </w:p>
        </w:tc>
        <w:tc>
          <w:tcPr>
            <w:tcW w:type="dxa" w:w="24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Impact</w:t>
            </w:r>
          </w:p>
        </w:tc>
        <w:tc>
          <w:tcPr>
            <w:tcW w:type="dxa" w:w="436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Control</w:t>
            </w:r>
          </w:p>
        </w:tc>
      </w:tr>
      <w:tr>
        <w:tc>
          <w:tcPr>
            <w:tcW w:type="dxa" w:w="2600"/>
            <w:tcMar>
              <w:top w:type="dxa" w:w="74"/>
              <w:left w:type="dxa" w:w="120"/>
              <w:bottom w:type="dxa" w:w="74"/>
              <w:right w:type="dxa" w:w="120"/>
            </w:tcMar>
            <w:vAlign w:val="center"/>
          </w:tcPr>
          <w:p>
            <w:pPr>
              <w:spacing w:after="0" w:line="250"/>
              <w:jc w:val="left"/>
            </w:pPr>
            <w:r>
              <w:rPr>
                <w:b/>
                <w:bCs/>
                <w:color w:val="1A1A1A"/>
                <w:sz w:val="17"/>
                <w:szCs w:val="17"/>
              </w:rPr>
              <w:t xml:space="preserve">Silent decimal truncation in a Zone B job that was not intended to touch money</w:t>
            </w:r>
          </w:p>
        </w:tc>
        <w:tc>
          <w:tcPr>
            <w:tcW w:type="dxa" w:w="2400"/>
            <w:tcMar>
              <w:top w:type="dxa" w:w="74"/>
              <w:left w:type="dxa" w:w="120"/>
              <w:bottom w:type="dxa" w:w="74"/>
              <w:right w:type="dxa" w:w="120"/>
            </w:tcMar>
            <w:vAlign w:val="center"/>
          </w:tcPr>
          <w:p>
            <w:pPr>
              <w:spacing w:after="0" w:line="250"/>
              <w:jc w:val="left"/>
            </w:pPr>
            <w:r>
              <w:rPr>
                <w:color w:val="1A1A1A"/>
                <w:sz w:val="17"/>
                <w:szCs w:val="17"/>
              </w:rPr>
              <w:t xml:space="preserve">Wrong invoice, discovered by a carrier dispute months later</w:t>
            </w:r>
          </w:p>
        </w:tc>
        <w:tc>
          <w:tcPr>
            <w:tcW w:type="dxa" w:w="4360"/>
            <w:tcMar>
              <w:top w:type="dxa" w:w="74"/>
              <w:left w:type="dxa" w:w="120"/>
              <w:bottom w:type="dxa" w:w="74"/>
              <w:right w:type="dxa" w:w="120"/>
            </w:tcMar>
            <w:vAlign w:val="center"/>
          </w:tcPr>
          <w:p>
            <w:pPr>
              <w:spacing w:after="0" w:line="250"/>
              <w:jc w:val="left"/>
            </w:pPr>
            <w:r>
              <w:rPr>
                <w:color w:val="1A1A1A"/>
                <w:sz w:val="17"/>
                <w:szCs w:val="17"/>
              </w:rPr>
              <w:t xml:space="preserve">Schema linter in CI rejecting any DOUBLE or FLOAT in a money-typed column and any DECIMAL above precision 30. Set spark.sql.ansi.enabled = true and spark.sql.decimalOperations.allowPrecisionLoss = false in every Zone B job so a breach fails loudly rather than truncating.</w:t>
            </w:r>
          </w:p>
        </w:tc>
      </w:tr>
      <w:tr>
        <w:tc>
          <w:tcPr>
            <w:tcW w:type="dxa" w:w="26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Rounding-mode drift between zones or between developers</w:t>
            </w:r>
          </w:p>
        </w:tc>
        <w:tc>
          <w:tcPr>
            <w:tcW w:type="dxa" w:w="2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Systematic penny variance across the whole estate</w:t>
            </w:r>
          </w:p>
        </w:tc>
        <w:tc>
          <w:tcPr>
            <w:tcW w:type="dxa" w:w="43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One rounding specification derived from the COBOL ROUNDED semantics, implemented in one utility. SonarQube rule failing the build on any direct setScale, round or bround call outside it.</w:t>
            </w:r>
          </w:p>
        </w:tc>
      </w:tr>
      <w:tr>
        <w:tc>
          <w:tcPr>
            <w:tcW w:type="dxa" w:w="2600"/>
            <w:tcMar>
              <w:top w:type="dxa" w:w="74"/>
              <w:left w:type="dxa" w:w="120"/>
              <w:bottom w:type="dxa" w:w="74"/>
              <w:right w:type="dxa" w:w="120"/>
            </w:tcMar>
            <w:vAlign w:val="center"/>
          </w:tcPr>
          <w:p>
            <w:pPr>
              <w:spacing w:after="0" w:line="250"/>
              <w:jc w:val="left"/>
            </w:pPr>
            <w:r>
              <w:rPr>
                <w:b/>
                <w:bCs/>
                <w:color w:val="1A1A1A"/>
                <w:sz w:val="17"/>
                <w:szCs w:val="17"/>
              </w:rPr>
              <w:t xml:space="preserve">Legacy sort order undocumented at recode time</w:t>
            </w:r>
          </w:p>
        </w:tc>
        <w:tc>
          <w:tcPr>
            <w:tcW w:type="dxa" w:w="2400"/>
            <w:tcMar>
              <w:top w:type="dxa" w:w="74"/>
              <w:left w:type="dxa" w:w="120"/>
              <w:bottom w:type="dxa" w:w="74"/>
              <w:right w:type="dxa" w:w="120"/>
            </w:tcMar>
            <w:vAlign w:val="center"/>
          </w:tcPr>
          <w:p>
            <w:pPr>
              <w:spacing w:after="0" w:line="250"/>
              <w:jc w:val="left"/>
            </w:pPr>
            <w:r>
              <w:rPr>
                <w:color w:val="1A1A1A"/>
                <w:sz w:val="17"/>
                <w:szCs w:val="17"/>
              </w:rPr>
              <w:t xml:space="preserve">Parity failures that cannot be diagnosed and cannot be reproduced</w:t>
            </w:r>
          </w:p>
        </w:tc>
        <w:tc>
          <w:tcPr>
            <w:tcW w:type="dxa" w:w="4360"/>
            <w:tcMar>
              <w:top w:type="dxa" w:w="74"/>
              <w:left w:type="dxa" w:w="120"/>
              <w:bottom w:type="dxa" w:w="74"/>
              <w:right w:type="dxa" w:w="120"/>
            </w:tcMar>
            <w:vAlign w:val="center"/>
          </w:tcPr>
          <w:p>
            <w:pPr>
              <w:spacing w:after="0" w:line="250"/>
              <w:jc w:val="left"/>
            </w:pPr>
            <w:r>
              <w:rPr>
                <w:color w:val="1A1A1A"/>
                <w:sz w:val="17"/>
                <w:szCs w:val="17"/>
              </w:rPr>
              <w:t xml:space="preserve">Extract sort keys from the JCL SORT control cards as a versioned deliverable before any recode begins. Treat the ordering as a specification artefact under change control.</w:t>
            </w:r>
          </w:p>
        </w:tc>
      </w:tr>
      <w:tr>
        <w:tc>
          <w:tcPr>
            <w:tcW w:type="dxa" w:w="26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Two languages, two skill pools, two toolchains</w:t>
            </w:r>
          </w:p>
        </w:tc>
        <w:tc>
          <w:tcPr>
            <w:tcW w:type="dxa" w:w="2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Slower onboarding, divergent standards, boundary erosion</w:t>
            </w:r>
          </w:p>
        </w:tc>
        <w:tc>
          <w:tcPr>
            <w:tcW w:type="dxa" w:w="43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Assign both zones to one team with two capabilities rather than two teams. Shared GitHub CI templates. One JFrog repository structure covering both Maven and PyPI artefacts.</w:t>
            </w:r>
          </w:p>
        </w:tc>
      </w:tr>
      <w:tr>
        <w:tc>
          <w:tcPr>
            <w:tcW w:type="dxa" w:w="2600"/>
            <w:tcMar>
              <w:top w:type="dxa" w:w="74"/>
              <w:left w:type="dxa" w:w="120"/>
              <w:bottom w:type="dxa" w:w="74"/>
              <w:right w:type="dxa" w:w="120"/>
            </w:tcMar>
            <w:vAlign w:val="center"/>
          </w:tcPr>
          <w:p>
            <w:pPr>
              <w:spacing w:after="0" w:line="250"/>
              <w:jc w:val="left"/>
            </w:pPr>
            <w:r>
              <w:rPr>
                <w:b/>
                <w:bCs/>
                <w:color w:val="1A1A1A"/>
                <w:sz w:val="17"/>
                <w:szCs w:val="17"/>
              </w:rPr>
              <w:t xml:space="preserve">Zone B creeps into the money path under delivery pressure</w:t>
            </w:r>
          </w:p>
        </w:tc>
        <w:tc>
          <w:tcPr>
            <w:tcW w:type="dxa" w:w="2400"/>
            <w:tcMar>
              <w:top w:type="dxa" w:w="74"/>
              <w:left w:type="dxa" w:w="120"/>
              <w:bottom w:type="dxa" w:w="74"/>
              <w:right w:type="dxa" w:w="120"/>
            </w:tcMar>
            <w:vAlign w:val="center"/>
          </w:tcPr>
          <w:p>
            <w:pPr>
              <w:spacing w:after="0" w:line="250"/>
              <w:jc w:val="left"/>
            </w:pPr>
            <w:r>
              <w:rPr>
                <w:color w:val="1A1A1A"/>
                <w:sz w:val="17"/>
                <w:szCs w:val="17"/>
              </w:rPr>
              <w:t xml:space="preserve">The boundary that the entire design depends on quietly disappears</w:t>
            </w:r>
          </w:p>
        </w:tc>
        <w:tc>
          <w:tcPr>
            <w:tcW w:type="dxa" w:w="4360"/>
            <w:tcMar>
              <w:top w:type="dxa" w:w="74"/>
              <w:left w:type="dxa" w:w="120"/>
              <w:bottom w:type="dxa" w:w="74"/>
              <w:right w:type="dxa" w:w="120"/>
            </w:tcMar>
            <w:vAlign w:val="center"/>
          </w:tcPr>
          <w:p>
            <w:pPr>
              <w:spacing w:after="0" w:line="250"/>
              <w:jc w:val="left"/>
            </w:pPr>
            <w:r>
              <w:rPr>
                <w:color w:val="1A1A1A"/>
                <w:sz w:val="17"/>
                <w:szCs w:val="17"/>
              </w:rPr>
              <w:t xml:space="preserve">Encode the boundary as an architecture fitness function tested in CI — not as a convention in a document. A Zone B job that writes a money column outside the approved contract fails the build.</w:t>
            </w:r>
          </w:p>
        </w:tc>
      </w:tr>
      <w:tr>
        <w:tc>
          <w:tcPr>
            <w:tcW w:type="dxa" w:w="2600"/>
            <w:shd w:fill="EEF2F6" w:color="auto" w:val="clear"/>
            <w:tcMar>
              <w:top w:type="dxa" w:w="74"/>
              <w:left w:type="dxa" w:w="120"/>
              <w:bottom w:type="dxa" w:w="74"/>
              <w:right w:type="dxa" w:w="120"/>
            </w:tcMar>
            <w:vAlign w:val="center"/>
          </w:tcPr>
          <w:p>
            <w:pPr>
              <w:spacing w:after="0" w:line="250"/>
              <w:jc w:val="left"/>
            </w:pPr>
            <w:r>
              <w:rPr>
                <w:b/>
                <w:bCs/>
                <w:color w:val="1A1A1A"/>
                <w:sz w:val="17"/>
                <w:szCs w:val="17"/>
              </w:rPr>
              <w:t xml:space="preserve">Platform upgrade changes decimal or ANSI defaults (Spark 3.5 to 4.0 flips ANSI mode on)</w:t>
            </w:r>
          </w:p>
        </w:tc>
        <w:tc>
          <w:tcPr>
            <w:tcW w:type="dxa" w:w="2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Behaviour change on a routine runtime upgrade, after parity has been signed off</w:t>
            </w:r>
          </w:p>
        </w:tc>
        <w:tc>
          <w:tcPr>
            <w:tcW w:type="dxa" w:w="43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Pin the Glue version. Set every decimal-relevant Spark property explicitly rather than relying on defaults. Include a decimal-behaviour regression suite in the upgrade gate.</w:t>
            </w:r>
          </w:p>
        </w:tc>
      </w:tr>
      <w:tr>
        <w:tc>
          <w:tcPr>
            <w:tcW w:type="dxa" w:w="2600"/>
            <w:tcMar>
              <w:top w:type="dxa" w:w="74"/>
              <w:left w:type="dxa" w:w="120"/>
              <w:bottom w:type="dxa" w:w="74"/>
              <w:right w:type="dxa" w:w="120"/>
            </w:tcMar>
            <w:vAlign w:val="center"/>
          </w:tcPr>
          <w:p>
            <w:pPr>
              <w:spacing w:after="0" w:line="250"/>
              <w:jc w:val="left"/>
            </w:pPr>
            <w:r>
              <w:rPr>
                <w:b/>
                <w:bCs/>
                <w:color w:val="1A1A1A"/>
                <w:sz w:val="17"/>
                <w:szCs w:val="17"/>
              </w:rPr>
              <w:t xml:space="preserve">Sizing estimates prove optimistic at volume</w:t>
            </w:r>
          </w:p>
        </w:tc>
        <w:tc>
          <w:tcPr>
            <w:tcW w:type="dxa" w:w="2400"/>
            <w:tcMar>
              <w:top w:type="dxa" w:w="74"/>
              <w:left w:type="dxa" w:w="120"/>
              <w:bottom w:type="dxa" w:w="74"/>
              <w:right w:type="dxa" w:w="120"/>
            </w:tcMar>
            <w:vAlign w:val="center"/>
          </w:tcPr>
          <w:p>
            <w:pPr>
              <w:spacing w:after="0" w:line="250"/>
              <w:jc w:val="left"/>
            </w:pPr>
            <w:r>
              <w:rPr>
                <w:color w:val="1A1A1A"/>
                <w:sz w:val="17"/>
                <w:szCs w:val="17"/>
              </w:rPr>
              <w:t xml:space="preserve">Month-end close window breach</w:t>
            </w:r>
          </w:p>
        </w:tc>
        <w:tc>
          <w:tcPr>
            <w:tcW w:type="dxa" w:w="4360"/>
            <w:tcMar>
              <w:top w:type="dxa" w:w="74"/>
              <w:left w:type="dxa" w:w="120"/>
              <w:bottom w:type="dxa" w:w="74"/>
              <w:right w:type="dxa" w:w="120"/>
            </w:tcMar>
            <w:vAlign w:val="center"/>
          </w:tcPr>
          <w:p>
            <w:pPr>
              <w:spacing w:after="0" w:line="250"/>
              <w:jc w:val="left"/>
            </w:pPr>
            <w:r>
              <w:rPr>
                <w:color w:val="1A1A1A"/>
                <w:sz w:val="17"/>
                <w:szCs w:val="17"/>
              </w:rPr>
              <w:t xml:space="preserve">Run a two-week throughput spike on representative CDR volumes before committing the sizing. Re-baseline Section 8.3 on measured figures.</w:t>
            </w:r>
          </w:p>
        </w:tc>
      </w:tr>
    </w:tbl>
    <w:p>
      <w:pPr>
        <w:pStyle w:val="Heading1"/>
        <w:spacing w:after="130" w:before="280"/>
      </w:pPr>
      <w:r>
        <w:rPr>
          <w:b/>
          <w:bCs/>
          <w:color w:val="0B2E4F"/>
          <w:sz w:val="28"/>
          <w:szCs w:val="28"/>
        </w:rPr>
        <w:t xml:space="preserve">12.  Toolchain Alignment and Engineering Guardrails</w:t>
      </w:r>
    </w:p>
    <w:p>
      <w:pPr>
        <w:spacing w:after="118" w:before="0" w:line="264"/>
      </w:pPr>
      <w:r>
        <w:rPr>
          <w:color w:val="1A1A1A"/>
          <w:sz w:val="21"/>
          <w:szCs w:val="21"/>
        </w:rPr>
        <w:t xml:space="preserve">The mandated toolchain points the same way as the technical analysis, though it is a secondary argument rather than a primary one. Maven and Gradle artefacts with BOM-based dependency pinning are first-class in JFrog; SonarQube's deepest and most mature rule set is its Java one; and Veracode's static engine analyses compiled bytecode, which gives high-fidelity control- and data-flow modelling on the JVM. Python is supported across all four tools, but static analysis precision on dynamically typed code is lower, and Glue's requirements.txt mechanism gives weaker dependency pinning than a Maven BOM. GitHub is neutral between them.</w:t>
      </w:r>
    </w:p>
    <w:p>
      <w:pPr>
        <w:pStyle w:val="Heading3"/>
        <w:spacing w:after="78" w:before="170"/>
      </w:pPr>
      <w:r>
        <w:rPr>
          <w:b/>
          <w:bCs/>
          <w:color w:val="33475B"/>
          <w:sz w:val="21"/>
          <w:szCs w:val="21"/>
        </w:rPr>
        <w:t xml:space="preserve">Guardrails to establish before the first line of target code</w:t>
      </w:r>
    </w:p>
    <w:p>
      <w:pPr>
        <w:pStyle w:val="ListParagraph"/>
        <w:numPr>
          <w:ilvl w:val="0"/>
          <w:numId w:val="2"/>
        </w:numPr>
        <w:spacing w:after="76" w:line="264"/>
      </w:pPr>
      <w:r>
        <w:rPr>
          <w:color w:val="1A1A1A"/>
          <w:sz w:val="21"/>
          <w:szCs w:val="21"/>
        </w:rPr>
        <w:t xml:space="preserve">Money type policy: BigDecimal only in Zone A. No float or double in any class on the money path, enforced by an ArchUnit test and a SonarQube rule.</w:t>
      </w:r>
    </w:p>
    <w:p>
      <w:pPr>
        <w:pStyle w:val="ListParagraph"/>
        <w:numPr>
          <w:ilvl w:val="0"/>
          <w:numId w:val="2"/>
        </w:numPr>
        <w:spacing w:after="76" w:line="264"/>
      </w:pPr>
      <w:r>
        <w:rPr>
          <w:color w:val="1A1A1A"/>
          <w:sz w:val="21"/>
          <w:szCs w:val="21"/>
        </w:rPr>
        <w:t xml:space="preserve">Rounding policy: one MoneyRounding utility implementing the documented COBOL ROUNDED semantics, including the residual-penny allocation rule for meet-point splits. All other rounding call sites fail the build.</w:t>
      </w:r>
    </w:p>
    <w:p>
      <w:pPr>
        <w:pStyle w:val="ListParagraph"/>
        <w:numPr>
          <w:ilvl w:val="0"/>
          <w:numId w:val="2"/>
        </w:numPr>
        <w:spacing w:after="76" w:line="264"/>
      </w:pPr>
      <w:r>
        <w:rPr>
          <w:color w:val="1A1A1A"/>
          <w:sz w:val="21"/>
          <w:szCs w:val="21"/>
        </w:rPr>
        <w:t xml:space="preserve">Spark configuration baseline for every Zone B job: ANSI mode on, allowPrecisionLoss false, sortBeforeRepartition on, adaptive query execution disabled for parity-critical stages, Glue version pinned in the job definition.</w:t>
      </w:r>
    </w:p>
    <w:p>
      <w:pPr>
        <w:pStyle w:val="ListParagraph"/>
        <w:numPr>
          <w:ilvl w:val="0"/>
          <w:numId w:val="2"/>
        </w:numPr>
        <w:spacing w:after="76" w:line="264"/>
      </w:pPr>
      <w:r>
        <w:rPr>
          <w:color w:val="1A1A1A"/>
          <w:sz w:val="21"/>
          <w:szCs w:val="21"/>
        </w:rPr>
        <w:t xml:space="preserve">Parity gate in CI: golden-file comparison at invoice-line grain against the legacy baseline, zero tolerance on amount fields, build fails on any non-zero difference.</w:t>
      </w:r>
    </w:p>
    <w:p>
      <w:pPr>
        <w:pStyle w:val="ListParagraph"/>
        <w:numPr>
          <w:ilvl w:val="0"/>
          <w:numId w:val="2"/>
        </w:numPr>
        <w:spacing w:after="76" w:line="264"/>
      </w:pPr>
      <w:r>
        <w:rPr>
          <w:color w:val="1A1A1A"/>
          <w:sz w:val="21"/>
          <w:szCs w:val="21"/>
        </w:rPr>
        <w:t xml:space="preserve">Determinism gate in CI: every parity-critical job runs twice on identical input with different executor and partition counts. Byte-identical output is required to pass. This single gate catches the majority of the failure modes in Section 6 before they reach a test cycle.</w:t>
      </w:r>
    </w:p>
    <w:p>
      <w:pPr>
        <w:pStyle w:val="ListParagraph"/>
        <w:numPr>
          <w:ilvl w:val="0"/>
          <w:numId w:val="2"/>
        </w:numPr>
        <w:spacing w:after="76" w:line="264"/>
      </w:pPr>
      <w:r>
        <w:rPr>
          <w:color w:val="1A1A1A"/>
          <w:sz w:val="21"/>
          <w:szCs w:val="21"/>
        </w:rPr>
        <w:t xml:space="preserve">Arithmetic inventory: a complete catalogue of every COMPUTE, ROUNDED, division and accumulator in the legacy money path, produced during analysis and used as the acceptance checklist. This is valuable regardless of which language is chosen.</w:t>
      </w:r>
    </w:p>
    <w:p>
      <w:pPr>
        <w:pStyle w:val="Heading1"/>
        <w:spacing w:after="130" w:before="280"/>
      </w:pPr>
      <w:r>
        <w:rPr>
          <w:b/>
          <w:bCs/>
          <w:color w:val="0B2E4F"/>
          <w:sz w:val="28"/>
          <w:szCs w:val="28"/>
        </w:rPr>
        <w:t xml:space="preserve">13.  Assumptions</w:t>
      </w:r>
    </w:p>
    <w:tbl>
      <w:tblPr>
        <w:tblW w:type="dxa" w:w="9360"/>
        <w:tblBorders>
          <w:top w:val="single" w:color="B8C4D0" w:sz="2"/>
          <w:left w:val="single" w:color="B8C4D0" w:sz="2"/>
          <w:bottom w:val="single" w:color="B8C4D0" w:sz="2"/>
          <w:right w:val="single" w:color="B8C4D0" w:sz="2"/>
          <w:insideH w:val="single" w:color="D5DDE5" w:sz="2"/>
          <w:insideV w:val="single" w:color="D5DDE5" w:sz="2"/>
        </w:tblBorders>
      </w:tblPr>
      <w:tblGrid>
        <w:gridCol w:w="5400"/>
        <w:gridCol w:w="3960"/>
      </w:tblGrid>
      <w:tr>
        <w:trPr>
          <w:tblHeader/>
        </w:trPr>
        <w:tc>
          <w:tcPr>
            <w:tcW w:type="dxa" w:w="540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Assumption</w:t>
            </w:r>
          </w:p>
        </w:tc>
        <w:tc>
          <w:tcPr>
            <w:tcW w:type="dxa" w:w="3960"/>
            <w:shd w:fill="0B2E4F" w:color="auto" w:val="clear"/>
            <w:tcMar>
              <w:top w:type="dxa" w:w="74"/>
              <w:left w:type="dxa" w:w="120"/>
              <w:bottom w:type="dxa" w:w="74"/>
              <w:right w:type="dxa" w:w="120"/>
            </w:tcMar>
            <w:vAlign w:val="center"/>
          </w:tcPr>
          <w:p>
            <w:pPr>
              <w:spacing w:after="0" w:line="250"/>
              <w:jc w:val="left"/>
            </w:pPr>
            <w:r>
              <w:rPr>
                <w:b/>
                <w:bCs/>
                <w:color w:val="FFFFFF"/>
                <w:sz w:val="18"/>
                <w:szCs w:val="18"/>
              </w:rPr>
              <w:t xml:space="preserve">Status</w:t>
            </w:r>
          </w:p>
        </w:tc>
      </w:tr>
      <w:tr>
        <w:tc>
          <w:tcPr>
            <w:tcW w:type="dxa" w:w="5400"/>
            <w:tcMar>
              <w:top w:type="dxa" w:w="74"/>
              <w:left w:type="dxa" w:w="120"/>
              <w:bottom w:type="dxa" w:w="74"/>
              <w:right w:type="dxa" w:w="120"/>
            </w:tcMar>
            <w:vAlign w:val="center"/>
          </w:tcPr>
          <w:p>
            <w:pPr>
              <w:spacing w:after="0" w:line="250"/>
              <w:jc w:val="left"/>
            </w:pPr>
            <w:r>
              <w:rPr>
                <w:color w:val="1A1A1A"/>
                <w:sz w:val="17"/>
                <w:szCs w:val="17"/>
              </w:rPr>
              <w:t xml:space="preserve">Month-end close window is six hours. If materially shorter, the sizing in Section 8.3 must be re-run.</w:t>
            </w:r>
          </w:p>
        </w:tc>
        <w:tc>
          <w:tcPr>
            <w:tcW w:type="dxa" w:w="3960"/>
            <w:tcMar>
              <w:top w:type="dxa" w:w="74"/>
              <w:left w:type="dxa" w:w="120"/>
              <w:bottom w:type="dxa" w:w="74"/>
              <w:right w:type="dxa" w:w="120"/>
            </w:tcMar>
            <w:vAlign w:val="center"/>
          </w:tcPr>
          <w:p>
            <w:pPr>
              <w:spacing w:after="0" w:line="250"/>
              <w:jc w:val="left"/>
            </w:pPr>
            <w:r>
              <w:rPr>
                <w:color w:val="1A1A1A"/>
                <w:sz w:val="17"/>
                <w:szCs w:val="17"/>
              </w:rPr>
              <w:t xml:space="preserve">To confirm with the client</w:t>
            </w:r>
          </w:p>
        </w:tc>
      </w:tr>
      <w:tr>
        <w:tc>
          <w:tcPr>
            <w:tcW w:type="dxa" w:w="5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S9(13)V9(5) is the widest money item in the estate. A wider item does not change the recommendation but does change the Spark precision headroom calculation.</w:t>
            </w:r>
          </w:p>
        </w:tc>
        <w:tc>
          <w:tcPr>
            <w:tcW w:type="dxa" w:w="39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To confirm with the client</w:t>
            </w:r>
          </w:p>
        </w:tc>
      </w:tr>
      <w:tr>
        <w:tc>
          <w:tcPr>
            <w:tcW w:type="dxa" w:w="5400"/>
            <w:tcMar>
              <w:top w:type="dxa" w:w="74"/>
              <w:left w:type="dxa" w:w="120"/>
              <w:bottom w:type="dxa" w:w="74"/>
              <w:right w:type="dxa" w:w="120"/>
            </w:tcMar>
            <w:vAlign w:val="center"/>
          </w:tcPr>
          <w:p>
            <w:pPr>
              <w:spacing w:after="0" w:line="250"/>
              <w:jc w:val="left"/>
            </w:pPr>
            <w:r>
              <w:rPr>
                <w:color w:val="1A1A1A"/>
                <w:sz w:val="17"/>
                <w:szCs w:val="17"/>
              </w:rPr>
              <w:t xml:space="preserve">AWS Glue is at version 5.0 (Spark 3.5.4, Python 3.11), where ANSI mode is off by default.</w:t>
            </w:r>
          </w:p>
        </w:tc>
        <w:tc>
          <w:tcPr>
            <w:tcW w:type="dxa" w:w="3960"/>
            <w:tcMar>
              <w:top w:type="dxa" w:w="74"/>
              <w:left w:type="dxa" w:w="120"/>
              <w:bottom w:type="dxa" w:w="74"/>
              <w:right w:type="dxa" w:w="120"/>
            </w:tcMar>
            <w:vAlign w:val="center"/>
          </w:tcPr>
          <w:p>
            <w:pPr>
              <w:spacing w:after="0" w:line="250"/>
              <w:jc w:val="left"/>
            </w:pPr>
            <w:r>
              <w:rPr>
                <w:color w:val="1A1A1A"/>
                <w:sz w:val="17"/>
                <w:szCs w:val="17"/>
              </w:rPr>
              <w:t xml:space="preserve">Verified against AWS documentation, August 2026</w:t>
            </w:r>
          </w:p>
        </w:tc>
      </w:tr>
      <w:tr>
        <w:tc>
          <w:tcPr>
            <w:tcW w:type="dxa" w:w="5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The COBOL compiler arithmetic mode, ARITH(COMPAT) or ARITH(EXTEND), is discoverable from the build JCL. It changes intermediate-result width and must be established before parity testing begins.</w:t>
            </w:r>
          </w:p>
        </w:tc>
        <w:tc>
          <w:tcPr>
            <w:tcW w:type="dxa" w:w="39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To confirm — material to parity</w:t>
            </w:r>
          </w:p>
        </w:tc>
      </w:tr>
      <w:tr>
        <w:tc>
          <w:tcPr>
            <w:tcW w:type="dxa" w:w="5400"/>
            <w:tcMar>
              <w:top w:type="dxa" w:w="74"/>
              <w:left w:type="dxa" w:w="120"/>
              <w:bottom w:type="dxa" w:w="74"/>
              <w:right w:type="dxa" w:w="120"/>
            </w:tcMar>
            <w:vAlign w:val="center"/>
          </w:tcPr>
          <w:p>
            <w:pPr>
              <w:spacing w:after="0" w:line="250"/>
              <w:jc w:val="left"/>
            </w:pPr>
            <w:r>
              <w:rPr>
                <w:color w:val="1A1A1A"/>
                <w:sz w:val="17"/>
                <w:szCs w:val="17"/>
              </w:rPr>
              <w:t xml:space="preserve">Throughput figures in Section 8.3 are engineering estimates derived from typical JVM batch behaviour, not measured benchmarks on this estate.</w:t>
            </w:r>
          </w:p>
        </w:tc>
        <w:tc>
          <w:tcPr>
            <w:tcW w:type="dxa" w:w="3960"/>
            <w:tcMar>
              <w:top w:type="dxa" w:w="74"/>
              <w:left w:type="dxa" w:w="120"/>
              <w:bottom w:type="dxa" w:w="74"/>
              <w:right w:type="dxa" w:w="120"/>
            </w:tcMar>
            <w:vAlign w:val="center"/>
          </w:tcPr>
          <w:p>
            <w:pPr>
              <w:spacing w:after="0" w:line="250"/>
              <w:jc w:val="left"/>
            </w:pPr>
            <w:r>
              <w:rPr>
                <w:color w:val="1A1A1A"/>
                <w:sz w:val="17"/>
                <w:szCs w:val="17"/>
              </w:rPr>
              <w:t xml:space="preserve">Estimate — spike recommended</w:t>
            </w:r>
          </w:p>
        </w:tc>
      </w:tr>
      <w:tr>
        <w:tc>
          <w:tcPr>
            <w:tcW w:type="dxa" w:w="540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Some portion of the estate will be processed by an automated refactoring toolchain that emits Java. If none is, the Java-by-default argument rests on the technical case alone, which is sufficient.</w:t>
            </w:r>
          </w:p>
        </w:tc>
        <w:tc>
          <w:tcPr>
            <w:tcW w:type="dxa" w:w="3960"/>
            <w:shd w:fill="EEF2F6" w:color="auto" w:val="clear"/>
            <w:tcMar>
              <w:top w:type="dxa" w:w="74"/>
              <w:left w:type="dxa" w:w="120"/>
              <w:bottom w:type="dxa" w:w="74"/>
              <w:right w:type="dxa" w:w="120"/>
            </w:tcMar>
            <w:vAlign w:val="center"/>
          </w:tcPr>
          <w:p>
            <w:pPr>
              <w:spacing w:after="0" w:line="250"/>
              <w:jc w:val="left"/>
            </w:pPr>
            <w:r>
              <w:rPr>
                <w:color w:val="1A1A1A"/>
                <w:sz w:val="17"/>
                <w:szCs w:val="17"/>
              </w:rPr>
              <w:t xml:space="preserve">To confirm with the client</w:t>
            </w:r>
          </w:p>
        </w:tc>
      </w:tr>
    </w:tbl>
    <w:p>
      <w:pPr>
        <w:pStyle w:val="Heading1"/>
        <w:spacing w:after="130" w:before="280"/>
      </w:pPr>
      <w:r>
        <w:rPr>
          <w:b/>
          <w:bCs/>
          <w:color w:val="0B2E4F"/>
          <w:sz w:val="28"/>
          <w:szCs w:val="28"/>
        </w:rPr>
        <w:t xml:space="preserve">14.  References</w:t>
      </w:r>
    </w:p>
    <w:p>
      <w:pPr>
        <w:spacing w:after="118" w:before="0" w:line="264"/>
      </w:pPr>
      <w:r>
        <w:rPr>
          <w:color w:val="6B7A8C"/>
          <w:sz w:val="19"/>
          <w:szCs w:val="19"/>
        </w:rPr>
        <w:t xml:space="preserve">All sources accessed 15 August 2026.</w:t>
      </w:r>
    </w:p>
    <w:p>
      <w:pPr>
        <w:spacing w:after="56" w:line="240"/>
        <w:ind w:left="380" w:hanging="380"/>
      </w:pPr>
      <w:r>
        <w:rPr>
          <w:b/>
          <w:bCs/>
          <w:color w:val="0B2E4F"/>
          <w:sz w:val="18"/>
          <w:szCs w:val="18"/>
        </w:rPr>
        <w:t xml:space="preserve">[1]  </w:t>
      </w:r>
      <w:r>
        <w:rPr>
          <w:sz w:val="18"/>
          <w:szCs w:val="18"/>
        </w:rPr>
        <w:t xml:space="preserve">Apache Spark — DecimalType API documentation. </w:t>
      </w:r>
      <w:hyperlink w:history="1" r:id="rIdk3qwiquwid8ln6satiq7b">
        <w:r>
          <w:rPr>
            <w:color w:val="1B5E9E"/>
            <w:sz w:val="17"/>
            <w:szCs w:val="17"/>
            <w:u w:val="single"/>
          </w:rPr>
          <w:t xml:space="preserve">https://spark.apache.org/docs/latest/api/java/org/apache/spark/sql/types/DecimalType.html</w:t>
        </w:r>
      </w:hyperlink>
    </w:p>
    <w:p>
      <w:pPr>
        <w:spacing w:after="56" w:line="240"/>
        <w:ind w:left="380" w:hanging="380"/>
      </w:pPr>
      <w:r>
        <w:rPr>
          <w:b/>
          <w:bCs/>
          <w:color w:val="0B2E4F"/>
          <w:sz w:val="18"/>
          <w:szCs w:val="18"/>
        </w:rPr>
        <w:t xml:space="preserve">[2]  </w:t>
      </w:r>
      <w:r>
        <w:rPr>
          <w:sz w:val="18"/>
          <w:szCs w:val="18"/>
        </w:rPr>
        <w:t xml:space="preserve">Apache Spark — ANSI Compliance (Spark 3.5). </w:t>
      </w:r>
      <w:hyperlink w:history="1" r:id="rIdpxvccwhzizqm8qhcgldsa">
        <w:r>
          <w:rPr>
            <w:color w:val="1B5E9E"/>
            <w:sz w:val="17"/>
            <w:szCs w:val="17"/>
            <w:u w:val="single"/>
          </w:rPr>
          <w:t xml:space="preserve">https://spark.apache.org/docs/3.5.6/sql-ref-ansi-compliance.html</w:t>
        </w:r>
      </w:hyperlink>
    </w:p>
    <w:p>
      <w:pPr>
        <w:spacing w:after="56" w:line="240"/>
        <w:ind w:left="380" w:hanging="380"/>
      </w:pPr>
      <w:r>
        <w:rPr>
          <w:b/>
          <w:bCs/>
          <w:color w:val="0B2E4F"/>
          <w:sz w:val="18"/>
          <w:szCs w:val="18"/>
        </w:rPr>
        <w:t xml:space="preserve">[3]  </w:t>
      </w:r>
      <w:r>
        <w:rPr>
          <w:sz w:val="18"/>
          <w:szCs w:val="18"/>
        </w:rPr>
        <w:t xml:space="preserve">Apache Spark — ANSI Compliance (current release). </w:t>
      </w:r>
      <w:hyperlink w:history="1" r:id="rIdz9kfx4y5gpephzjeaivqr">
        <w:r>
          <w:rPr>
            <w:color w:val="1B5E9E"/>
            <w:sz w:val="17"/>
            <w:szCs w:val="17"/>
            <w:u w:val="single"/>
          </w:rPr>
          <w:t xml:space="preserve">https://spark.apache.org/docs/latest/sql-ref-ansi-compliance.html</w:t>
        </w:r>
      </w:hyperlink>
    </w:p>
    <w:p>
      <w:pPr>
        <w:spacing w:after="56" w:line="240"/>
        <w:ind w:left="380" w:hanging="380"/>
      </w:pPr>
      <w:r>
        <w:rPr>
          <w:b/>
          <w:bCs/>
          <w:color w:val="0B2E4F"/>
          <w:sz w:val="18"/>
          <w:szCs w:val="18"/>
        </w:rPr>
        <w:t xml:space="preserve">[4]  </w:t>
      </w:r>
      <w:r>
        <w:rPr>
          <w:sz w:val="18"/>
          <w:szCs w:val="18"/>
        </w:rPr>
        <w:t xml:space="preserve">Apache Spark — SQL migration guide (spark.sql.decimalOperations.allowPrecisionLoss). </w:t>
      </w:r>
      <w:hyperlink w:history="1" r:id="rId_puyo9umcg2tdwjxkpkum">
        <w:r>
          <w:rPr>
            <w:color w:val="1B5E9E"/>
            <w:sz w:val="17"/>
            <w:szCs w:val="17"/>
            <w:u w:val="single"/>
          </w:rPr>
          <w:t xml:space="preserve">https://archive.apache.org/dist/spark/docs/2.4.0/sql-migration-guide-upgrade.html</w:t>
        </w:r>
      </w:hyperlink>
    </w:p>
    <w:p>
      <w:pPr>
        <w:spacing w:after="56" w:line="240"/>
        <w:ind w:left="380" w:hanging="380"/>
      </w:pPr>
      <w:r>
        <w:rPr>
          <w:b/>
          <w:bCs/>
          <w:color w:val="0B2E4F"/>
          <w:sz w:val="18"/>
          <w:szCs w:val="18"/>
        </w:rPr>
        <w:t xml:space="preserve">[5]  </w:t>
      </w:r>
      <w:r>
        <w:rPr>
          <w:sz w:val="18"/>
          <w:szCs w:val="18"/>
        </w:rPr>
        <w:t xml:space="preserve">Databricks — ANSI-compliant DECIMAL precision and scale. </w:t>
      </w:r>
      <w:hyperlink w:history="1" r:id="rId7ya1ym2-4abnwmljqfhk4">
        <w:r>
          <w:rPr>
            <w:color w:val="1B5E9E"/>
            <w:sz w:val="17"/>
            <w:szCs w:val="17"/>
            <w:u w:val="single"/>
          </w:rPr>
          <w:t xml:space="preserve">https://kb.databricks.com/sql/ansi-compliant-decimal-precision-and-scale</w:t>
        </w:r>
      </w:hyperlink>
    </w:p>
    <w:p>
      <w:pPr>
        <w:spacing w:after="56" w:line="240"/>
        <w:ind w:left="380" w:hanging="380"/>
      </w:pPr>
      <w:r>
        <w:rPr>
          <w:b/>
          <w:bCs/>
          <w:color w:val="0B2E4F"/>
          <w:sz w:val="18"/>
          <w:szCs w:val="18"/>
        </w:rPr>
        <w:t xml:space="preserve">[6]  </w:t>
      </w:r>
      <w:r>
        <w:rPr>
          <w:sz w:val="18"/>
          <w:szCs w:val="18"/>
        </w:rPr>
        <w:t xml:space="preserve">Databricks — sum aggregate function (decimal result type and overflow). </w:t>
      </w:r>
      <w:hyperlink w:history="1" r:id="rId4ws1hqizw3v30msg-dc4-">
        <w:r>
          <w:rPr>
            <w:color w:val="1B5E9E"/>
            <w:sz w:val="17"/>
            <w:szCs w:val="17"/>
            <w:u w:val="single"/>
          </w:rPr>
          <w:t xml:space="preserve">https://learn.microsoft.com/en-us/azure/databricks/sql/language-manual/functions/sum</w:t>
        </w:r>
      </w:hyperlink>
    </w:p>
    <w:p>
      <w:pPr>
        <w:spacing w:after="56" w:line="240"/>
        <w:ind w:left="380" w:hanging="380"/>
      </w:pPr>
      <w:r>
        <w:rPr>
          <w:b/>
          <w:bCs/>
          <w:color w:val="0B2E4F"/>
          <w:sz w:val="18"/>
          <w:szCs w:val="18"/>
        </w:rPr>
        <w:t xml:space="preserve">[7]  </w:t>
      </w:r>
      <w:r>
        <w:rPr>
          <w:sz w:val="18"/>
          <w:szCs w:val="18"/>
        </w:rPr>
        <w:t xml:space="preserve">Databricks — round function (HALF_UP). </w:t>
      </w:r>
      <w:hyperlink w:history="1" r:id="rIda7axnqljkkevijomnasi3">
        <w:r>
          <w:rPr>
            <w:color w:val="1B5E9E"/>
            <w:sz w:val="17"/>
            <w:szCs w:val="17"/>
            <w:u w:val="single"/>
          </w:rPr>
          <w:t xml:space="preserve">https://docs.databricks.com/aws/en/sql/language-manual/functions/round</w:t>
        </w:r>
      </w:hyperlink>
    </w:p>
    <w:p>
      <w:pPr>
        <w:spacing w:after="56" w:line="240"/>
        <w:ind w:left="380" w:hanging="380"/>
      </w:pPr>
      <w:r>
        <w:rPr>
          <w:b/>
          <w:bCs/>
          <w:color w:val="0B2E4F"/>
          <w:sz w:val="18"/>
          <w:szCs w:val="18"/>
        </w:rPr>
        <w:t xml:space="preserve">[8]  </w:t>
      </w:r>
      <w:r>
        <w:rPr>
          <w:sz w:val="18"/>
          <w:szCs w:val="18"/>
        </w:rPr>
        <w:t xml:space="preserve">Databricks — bround function (HALF_EVEN). </w:t>
      </w:r>
      <w:hyperlink w:history="1" r:id="rIdoxgce9x11ewe3ykqjnxgm">
        <w:r>
          <w:rPr>
            <w:color w:val="1B5E9E"/>
            <w:sz w:val="17"/>
            <w:szCs w:val="17"/>
            <w:u w:val="single"/>
          </w:rPr>
          <w:t xml:space="preserve">https://docs.databricks.com/aws/en/sql/language-manual/functions/bround</w:t>
        </w:r>
      </w:hyperlink>
    </w:p>
    <w:p>
      <w:pPr>
        <w:spacing w:after="56" w:line="240"/>
        <w:ind w:left="380" w:hanging="380"/>
      </w:pPr>
      <w:r>
        <w:rPr>
          <w:b/>
          <w:bCs/>
          <w:color w:val="0B2E4F"/>
          <w:sz w:val="18"/>
          <w:szCs w:val="18"/>
        </w:rPr>
        <w:t xml:space="preserve">[9]  </w:t>
      </w:r>
      <w:r>
        <w:rPr>
          <w:sz w:val="18"/>
          <w:szCs w:val="18"/>
        </w:rPr>
        <w:t xml:space="preserve">ASF JIRA SPARK-40351 — Spark Sum increases the precision of DecimalType arguments by 10. </w:t>
      </w:r>
      <w:hyperlink w:history="1" r:id="rIdrozxfysw-rufx8dzy3lr0">
        <w:r>
          <w:rPr>
            <w:color w:val="1B5E9E"/>
            <w:sz w:val="17"/>
            <w:szCs w:val="17"/>
            <w:u w:val="single"/>
          </w:rPr>
          <w:t xml:space="preserve">https://issues.apache.org/jira/browse/SPARK-40351</w:t>
        </w:r>
      </w:hyperlink>
    </w:p>
    <w:p>
      <w:pPr>
        <w:spacing w:after="56" w:line="240"/>
        <w:ind w:left="380" w:hanging="380"/>
      </w:pPr>
      <w:r>
        <w:rPr>
          <w:b/>
          <w:bCs/>
          <w:color w:val="0B2E4F"/>
          <w:sz w:val="18"/>
          <w:szCs w:val="18"/>
        </w:rPr>
        <w:t xml:space="preserve">[10]  </w:t>
      </w:r>
      <w:r>
        <w:rPr>
          <w:sz w:val="18"/>
          <w:szCs w:val="18"/>
        </w:rPr>
        <w:t xml:space="preserve">ASF JIRA SPARK-28224 — Check overflow in decimal Sum aggregate. </w:t>
      </w:r>
      <w:hyperlink w:history="1" r:id="rIdlc6sbdx0ln7ehu1avw8zs">
        <w:r>
          <w:rPr>
            <w:color w:val="1B5E9E"/>
            <w:sz w:val="17"/>
            <w:szCs w:val="17"/>
            <w:u w:val="single"/>
          </w:rPr>
          <w:t xml:space="preserve">https://issues.apache.org/jira/browse/SPARK-28224</w:t>
        </w:r>
      </w:hyperlink>
    </w:p>
    <w:p>
      <w:pPr>
        <w:spacing w:after="56" w:line="240"/>
        <w:ind w:left="380" w:hanging="380"/>
      </w:pPr>
      <w:r>
        <w:rPr>
          <w:b/>
          <w:bCs/>
          <w:color w:val="0B2E4F"/>
          <w:sz w:val="18"/>
          <w:szCs w:val="18"/>
        </w:rPr>
        <w:t xml:space="preserve">[11]  </w:t>
      </w:r>
      <w:r>
        <w:rPr>
          <w:sz w:val="18"/>
          <w:szCs w:val="18"/>
        </w:rPr>
        <w:t xml:space="preserve">ASF JIRA SPARK-23207 — Shuffle+Repartition on a DataFrame could lead to incorrect answers. </w:t>
      </w:r>
      <w:hyperlink w:history="1" r:id="rIdvfnrnddmhxtw0gdnoxxgr">
        <w:r>
          <w:rPr>
            <w:color w:val="1B5E9E"/>
            <w:sz w:val="17"/>
            <w:szCs w:val="17"/>
            <w:u w:val="single"/>
          </w:rPr>
          <w:t xml:space="preserve">https://issues.apache.org/jira/browse/SPARK-23207</w:t>
        </w:r>
      </w:hyperlink>
    </w:p>
    <w:p>
      <w:pPr>
        <w:spacing w:after="56" w:line="240"/>
        <w:ind w:left="380" w:hanging="380"/>
      </w:pPr>
      <w:r>
        <w:rPr>
          <w:b/>
          <w:bCs/>
          <w:color w:val="0B2E4F"/>
          <w:sz w:val="18"/>
          <w:szCs w:val="18"/>
        </w:rPr>
        <w:t xml:space="preserve">[12]  </w:t>
      </w:r>
      <w:r>
        <w:rPr>
          <w:sz w:val="18"/>
          <w:szCs w:val="18"/>
        </w:rPr>
        <w:t xml:space="preserve">Oracle — java.math.BigDecimal (Java SE 17). </w:t>
      </w:r>
      <w:hyperlink w:history="1" r:id="rIdydcvu48s9u8_ahgamko1e">
        <w:r>
          <w:rPr>
            <w:color w:val="1B5E9E"/>
            <w:sz w:val="17"/>
            <w:szCs w:val="17"/>
            <w:u w:val="single"/>
          </w:rPr>
          <w:t xml:space="preserve">https://docs.oracle.com/en/java/javase/17/docs/api/java.base/java/math/BigDecimal.html</w:t>
        </w:r>
      </w:hyperlink>
    </w:p>
    <w:p>
      <w:pPr>
        <w:spacing w:after="56" w:line="240"/>
        <w:ind w:left="380" w:hanging="380"/>
      </w:pPr>
      <w:r>
        <w:rPr>
          <w:b/>
          <w:bCs/>
          <w:color w:val="0B2E4F"/>
          <w:sz w:val="18"/>
          <w:szCs w:val="18"/>
        </w:rPr>
        <w:t xml:space="preserve">[13]  </w:t>
      </w:r>
      <w:r>
        <w:rPr>
          <w:sz w:val="18"/>
          <w:szCs w:val="18"/>
        </w:rPr>
        <w:t xml:space="preserve">Oracle — java.math.RoundingMode (Java SE 17). </w:t>
      </w:r>
      <w:hyperlink w:history="1" r:id="rIdgsanrlrfe-xf7tziraekg">
        <w:r>
          <w:rPr>
            <w:color w:val="1B5E9E"/>
            <w:sz w:val="17"/>
            <w:szCs w:val="17"/>
            <w:u w:val="single"/>
          </w:rPr>
          <w:t xml:space="preserve">https://docs.oracle.com/en/java/javase/17/docs/api/java.base/java/math/RoundingMode.html</w:t>
        </w:r>
      </w:hyperlink>
    </w:p>
    <w:p>
      <w:pPr>
        <w:spacing w:after="56" w:line="240"/>
        <w:ind w:left="380" w:hanging="380"/>
      </w:pPr>
      <w:r>
        <w:rPr>
          <w:b/>
          <w:bCs/>
          <w:color w:val="0B2E4F"/>
          <w:sz w:val="18"/>
          <w:szCs w:val="18"/>
        </w:rPr>
        <w:t xml:space="preserve">[14]  </w:t>
      </w:r>
      <w:r>
        <w:rPr>
          <w:sz w:val="18"/>
          <w:szCs w:val="18"/>
        </w:rPr>
        <w:t xml:space="preserve">Python Software Foundation — decimal: Decimal fixed point and floating point arithmetic. </w:t>
      </w:r>
      <w:hyperlink w:history="1" r:id="rId8ljtvjlyigb4muqwouz-b">
        <w:r>
          <w:rPr>
            <w:color w:val="1B5E9E"/>
            <w:sz w:val="17"/>
            <w:szCs w:val="17"/>
            <w:u w:val="single"/>
          </w:rPr>
          <w:t xml:space="preserve">https://docs.python.org/3/library/decimal.html</w:t>
        </w:r>
      </w:hyperlink>
    </w:p>
    <w:p>
      <w:pPr>
        <w:spacing w:after="56" w:line="240"/>
        <w:ind w:left="380" w:hanging="380"/>
      </w:pPr>
      <w:r>
        <w:rPr>
          <w:b/>
          <w:bCs/>
          <w:color w:val="0B2E4F"/>
          <w:sz w:val="18"/>
          <w:szCs w:val="18"/>
        </w:rPr>
        <w:t xml:space="preserve">[15]  </w:t>
      </w:r>
      <w:r>
        <w:rPr>
          <w:sz w:val="18"/>
          <w:szCs w:val="18"/>
        </w:rPr>
        <w:t xml:space="preserve">Spring — What's new in Spring Batch 6. </w:t>
      </w:r>
      <w:hyperlink w:history="1" r:id="rIdoazdh9qjsachvj22lwyuo">
        <w:r>
          <w:rPr>
            <w:color w:val="1B5E9E"/>
            <w:sz w:val="17"/>
            <w:szCs w:val="17"/>
            <w:u w:val="single"/>
          </w:rPr>
          <w:t xml:space="preserve">https://docs.spring.io/spring-batch/reference/whatsnew.html</w:t>
        </w:r>
      </w:hyperlink>
    </w:p>
    <w:p>
      <w:pPr>
        <w:spacing w:after="56" w:line="240"/>
        <w:ind w:left="380" w:hanging="380"/>
      </w:pPr>
      <w:r>
        <w:rPr>
          <w:b/>
          <w:bCs/>
          <w:color w:val="0B2E4F"/>
          <w:sz w:val="18"/>
          <w:szCs w:val="18"/>
        </w:rPr>
        <w:t xml:space="preserve">[16]  </w:t>
      </w:r>
      <w:r>
        <w:rPr>
          <w:sz w:val="18"/>
          <w:szCs w:val="18"/>
        </w:rPr>
        <w:t xml:space="preserve">Spring — Spring Batch: Scaling and Parallel Processing (remote partitioning). </w:t>
      </w:r>
      <w:hyperlink w:history="1" r:id="rIdhaqdm3w5r_jhqnlkzsrrv">
        <w:r>
          <w:rPr>
            <w:color w:val="1B5E9E"/>
            <w:sz w:val="17"/>
            <w:szCs w:val="17"/>
            <w:u w:val="single"/>
          </w:rPr>
          <w:t xml:space="preserve">https://docs.spring.io/spring-batch/reference/scalability.html</w:t>
        </w:r>
      </w:hyperlink>
    </w:p>
    <w:p>
      <w:pPr>
        <w:spacing w:after="56" w:line="240"/>
        <w:ind w:left="380" w:hanging="380"/>
      </w:pPr>
      <w:r>
        <w:rPr>
          <w:b/>
          <w:bCs/>
          <w:color w:val="0B2E4F"/>
          <w:sz w:val="18"/>
          <w:szCs w:val="18"/>
        </w:rPr>
        <w:t xml:space="preserve">[17]  </w:t>
      </w:r>
      <w:r>
        <w:rPr>
          <w:sz w:val="18"/>
          <w:szCs w:val="18"/>
        </w:rPr>
        <w:t xml:space="preserve">AWS — Migrating AWS Glue for Spark jobs to AWS Glue version 5.0. </w:t>
      </w:r>
      <w:hyperlink w:history="1" r:id="rIdghxgzlat_ibugdywewfxt">
        <w:r>
          <w:rPr>
            <w:color w:val="1B5E9E"/>
            <w:sz w:val="17"/>
            <w:szCs w:val="17"/>
            <w:u w:val="single"/>
          </w:rPr>
          <w:t xml:space="preserve">https://docs.aws.amazon.com/glue/latest/dg/migrating-version-50.html</w:t>
        </w:r>
      </w:hyperlink>
    </w:p>
    <w:p>
      <w:pPr>
        <w:spacing w:after="56" w:line="240"/>
        <w:ind w:left="380" w:hanging="380"/>
      </w:pPr>
      <w:r>
        <w:rPr>
          <w:b/>
          <w:bCs/>
          <w:color w:val="0B2E4F"/>
          <w:sz w:val="18"/>
          <w:szCs w:val="18"/>
        </w:rPr>
        <w:t xml:space="preserve">[18]  </w:t>
      </w:r>
      <w:r>
        <w:rPr>
          <w:sz w:val="18"/>
          <w:szCs w:val="18"/>
        </w:rPr>
        <w:t xml:space="preserve">AWS Big Data Blog — Introducing AWS Glue 5.0 for Apache Spark. </w:t>
      </w:r>
      <w:hyperlink w:history="1" r:id="rIdmmjac_ttmi0co75yhfxpe">
        <w:r>
          <w:rPr>
            <w:color w:val="1B5E9E"/>
            <w:sz w:val="17"/>
            <w:szCs w:val="17"/>
            <w:u w:val="single"/>
          </w:rPr>
          <w:t xml:space="preserve">https://aws.amazon.com/blogs/big-data/introducing-aws-glue-5-0-for-apache-spark/</w:t>
        </w:r>
      </w:hyperlink>
    </w:p>
    <w:p>
      <w:pPr>
        <w:spacing w:after="56" w:line="240"/>
        <w:ind w:left="380" w:hanging="380"/>
      </w:pPr>
      <w:r>
        <w:rPr>
          <w:b/>
          <w:bCs/>
          <w:color w:val="0B2E4F"/>
          <w:sz w:val="18"/>
          <w:szCs w:val="18"/>
        </w:rPr>
        <w:t xml:space="preserve">[19]  </w:t>
      </w:r>
      <w:r>
        <w:rPr>
          <w:sz w:val="18"/>
          <w:szCs w:val="18"/>
        </w:rPr>
        <w:t xml:space="preserve">AWS — AWS Blu Age FAQ (AWS Mainframe Modernization). </w:t>
      </w:r>
      <w:hyperlink w:history="1" r:id="rIdfk8ugong5bba-p99rf_b6">
        <w:r>
          <w:rPr>
            <w:color w:val="1B5E9E"/>
            <w:sz w:val="17"/>
            <w:szCs w:val="17"/>
            <w:u w:val="single"/>
          </w:rPr>
          <w:t xml:space="preserve">https://docs.aws.amazon.com/m2/latest/userguide/ba-faq.html</w:t>
        </w:r>
      </w:hyperlink>
    </w:p>
    <w:p>
      <w:pPr>
        <w:spacing w:after="56" w:line="240"/>
        <w:ind w:left="380" w:hanging="380"/>
      </w:pPr>
      <w:r>
        <w:rPr>
          <w:b/>
          <w:bCs/>
          <w:color w:val="0B2E4F"/>
          <w:sz w:val="18"/>
          <w:szCs w:val="18"/>
        </w:rPr>
        <w:t xml:space="preserve">[20]  </w:t>
      </w:r>
      <w:r>
        <w:rPr>
          <w:sz w:val="18"/>
          <w:szCs w:val="18"/>
        </w:rPr>
        <w:t xml:space="preserve">IBM — Enterprise COBOL for z/OS: Intermediate results and arithmetic precision. </w:t>
      </w:r>
      <w:hyperlink w:history="1" r:id="rIdxpv_kfewwesjto6lktkwi">
        <w:r>
          <w:rPr>
            <w:color w:val="1B5E9E"/>
            <w:sz w:val="17"/>
            <w:szCs w:val="17"/>
            <w:u w:val="single"/>
          </w:rPr>
          <w:t xml:space="preserve">https://www.ibm.com/docs/en/cobol-zos/6.4.0?topic=appendixes-intermediate-results-arithmetic-precision</w:t>
        </w:r>
      </w:hyperlink>
    </w:p>
    <w:p>
      <w:pPr>
        <w:spacing w:after="56" w:line="240"/>
        <w:ind w:left="380" w:hanging="380"/>
      </w:pPr>
      <w:r>
        <w:rPr>
          <w:b/>
          <w:bCs/>
          <w:color w:val="0B2E4F"/>
          <w:sz w:val="18"/>
          <w:szCs w:val="18"/>
        </w:rPr>
        <w:t xml:space="preserve">[21]  </w:t>
      </w:r>
      <w:r>
        <w:rPr>
          <w:sz w:val="18"/>
          <w:szCs w:val="18"/>
        </w:rPr>
        <w:t xml:space="preserve">Veracode — Scan code: static analysis language and packaging support. </w:t>
      </w:r>
      <w:hyperlink w:history="1" r:id="rIdyfuw1aa1nobwncrkaewxg">
        <w:r>
          <w:rPr>
            <w:color w:val="1B5E9E"/>
            <w:sz w:val="17"/>
            <w:szCs w:val="17"/>
            <w:u w:val="single"/>
          </w:rPr>
          <w:t xml:space="preserve">https://docs.veracode.com/r/c_static_overview</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C"/>
        <w:sz w:val="16"/>
        <w:szCs w:val="16"/>
      </w:rPr>
      <w:t xml:space="preserve">Page </w:t>
    </w:r>
    <w:r>
      <w:rPr>
        <w:color w:val="6B7A8C"/>
        <w:sz w:val="16"/>
        <w:szCs w:val="16"/>
      </w:rPr>
      <w:fldChar w:fldCharType="begin"/>
      <w:instrText xml:space="preserve">PAGE</w:instrText>
      <w:fldChar w:fldCharType="separate"/>
      <w:fldChar w:fldCharType="end"/>
    </w:r>
    <w:r>
      <w:rPr>
        <w:color w:val="6B7A8C"/>
        <w:sz w:val="16"/>
        <w:szCs w:val="16"/>
      </w:rPr>
      <w:t xml:space="preserve"> of </w:t>
    </w:r>
    <w:r>
      <w:rPr>
        <w:color w:val="6B7A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E" w:sz="4" w:space="4"/>
      </w:pBdr>
      <w:spacing w:after="80"/>
      <w:jc w:val="right"/>
    </w:pPr>
    <w:r>
      <w:rPr>
        <w:color w:val="6B7A8C"/>
        <w:sz w:val="16"/>
        <w:szCs w:val="16"/>
      </w:rPr>
      <w:t xml:space="preserve">Target-State Language Recommendation  —  Wholesale Carrier Access Billing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B2E4F"/>
      </w:rPr>
    </w:lvl>
  </w:abstractNum>
  <w:abstractNum w:abstractNumId="3" w15:restartNumberingAfterBreak="0">
    <w:multiLevelType w:val="hybridMultilevel"/>
    <w:lvl w:ilvl="0" w15:tentative="1">
      <w:start w:val="1"/>
      <w:numFmt w:val="decimal"/>
      <w:lvlText w:val="%1."/>
      <w:lvlJc w:val="start"/>
      <w:pPr>
        <w:ind w:left="400" w:hanging="260"/>
      </w:pPr>
      <w:rPr>
        <w:b/>
        <w:bCs/>
        <w:color w:val="0B2E4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18"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30" w:before="280"/>
    </w:pPr>
    <w:rPr>
      <w:rFonts w:ascii="Calibri" w:cs="Calibri" w:eastAsia="Calibri" w:hAnsi="Calibri"/>
      <w:b/>
      <w:bCs/>
      <w:color w:val="0B2E4F"/>
      <w:sz w:val="28"/>
      <w:szCs w:val="28"/>
    </w:rPr>
  </w:style>
  <w:style w:type="paragraph" w:styleId="Heading2">
    <w:name w:val="Heading 2"/>
    <w:basedOn w:val="Normal"/>
    <w:next w:val="Normal"/>
    <w:qFormat/>
    <w:pPr>
      <w:spacing w:after="95" w:before="220"/>
    </w:pPr>
    <w:rPr>
      <w:rFonts w:ascii="Calibri" w:cs="Calibri" w:eastAsia="Calibri" w:hAnsi="Calibri"/>
      <w:b/>
      <w:bCs/>
      <w:color w:val="0B2E4F"/>
      <w:sz w:val="23"/>
      <w:szCs w:val="23"/>
    </w:rPr>
  </w:style>
  <w:style w:type="paragraph" w:styleId="Heading3">
    <w:name w:val="Heading 3"/>
    <w:basedOn w:val="Normal"/>
    <w:next w:val="Normal"/>
    <w:qFormat/>
    <w:pPr>
      <w:spacing w:after="78" w:before="170"/>
    </w:pPr>
    <w:rPr>
      <w:rFonts w:ascii="Calibri" w:cs="Calibri" w:eastAsia="Calibri" w:hAnsi="Calibri"/>
      <w:b/>
      <w:bCs/>
      <w:color w:val="33475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3qwiquwid8ln6satiq7b" Type="http://schemas.openxmlformats.org/officeDocument/2006/relationships/hyperlink" Target="https://spark.apache.org/docs/latest/api/java/org/apache/spark/sql/types/DecimalType.html" TargetMode="External"/><Relationship Id="rIdpxvccwhzizqm8qhcgldsa" Type="http://schemas.openxmlformats.org/officeDocument/2006/relationships/hyperlink" Target="https://spark.apache.org/docs/3.5.6/sql-ref-ansi-compliance.html" TargetMode="External"/><Relationship Id="rIdz9kfx4y5gpephzjeaivqr" Type="http://schemas.openxmlformats.org/officeDocument/2006/relationships/hyperlink" Target="https://spark.apache.org/docs/latest/sql-ref-ansi-compliance.html" TargetMode="External"/><Relationship Id="rId_puyo9umcg2tdwjxkpkum" Type="http://schemas.openxmlformats.org/officeDocument/2006/relationships/hyperlink" Target="https://archive.apache.org/dist/spark/docs/2.4.0/sql-migration-guide-upgrade.html" TargetMode="External"/><Relationship Id="rId7ya1ym2-4abnwmljqfhk4" Type="http://schemas.openxmlformats.org/officeDocument/2006/relationships/hyperlink" Target="https://kb.databricks.com/sql/ansi-compliant-decimal-precision-and-scale" TargetMode="External"/><Relationship Id="rId4ws1hqizw3v30msg-dc4-" Type="http://schemas.openxmlformats.org/officeDocument/2006/relationships/hyperlink" Target="https://learn.microsoft.com/en-us/azure/databricks/sql/language-manual/functions/sum" TargetMode="External"/><Relationship Id="rIda7axnqljkkevijomnasi3" Type="http://schemas.openxmlformats.org/officeDocument/2006/relationships/hyperlink" Target="https://docs.databricks.com/aws/en/sql/language-manual/functions/round" TargetMode="External"/><Relationship Id="rIdoxgce9x11ewe3ykqjnxgm" Type="http://schemas.openxmlformats.org/officeDocument/2006/relationships/hyperlink" Target="https://docs.databricks.com/aws/en/sql/language-manual/functions/bround" TargetMode="External"/><Relationship Id="rIdrozxfysw-rufx8dzy3lr0" Type="http://schemas.openxmlformats.org/officeDocument/2006/relationships/hyperlink" Target="https://issues.apache.org/jira/browse/SPARK-40351" TargetMode="External"/><Relationship Id="rIdlc6sbdx0ln7ehu1avw8zs" Type="http://schemas.openxmlformats.org/officeDocument/2006/relationships/hyperlink" Target="https://issues.apache.org/jira/browse/SPARK-28224" TargetMode="External"/><Relationship Id="rIdvfnrnddmhxtw0gdnoxxgr" Type="http://schemas.openxmlformats.org/officeDocument/2006/relationships/hyperlink" Target="https://issues.apache.org/jira/browse/SPARK-23207" TargetMode="External"/><Relationship Id="rIdydcvu48s9u8_ahgamko1e" Type="http://schemas.openxmlformats.org/officeDocument/2006/relationships/hyperlink" Target="https://docs.oracle.com/en/java/javase/17/docs/api/java.base/java/math/BigDecimal.html" TargetMode="External"/><Relationship Id="rIdgsanrlrfe-xf7tziraekg" Type="http://schemas.openxmlformats.org/officeDocument/2006/relationships/hyperlink" Target="https://docs.oracle.com/en/java/javase/17/docs/api/java.base/java/math/RoundingMode.html" TargetMode="External"/><Relationship Id="rId8ljtvjlyigb4muqwouz-b" Type="http://schemas.openxmlformats.org/officeDocument/2006/relationships/hyperlink" Target="https://docs.python.org/3/library/decimal.html" TargetMode="External"/><Relationship Id="rIdoazdh9qjsachvj22lwyuo" Type="http://schemas.openxmlformats.org/officeDocument/2006/relationships/hyperlink" Target="https://docs.spring.io/spring-batch/reference/whatsnew.html" TargetMode="External"/><Relationship Id="rIdhaqdm3w5r_jhqnlkzsrrv" Type="http://schemas.openxmlformats.org/officeDocument/2006/relationships/hyperlink" Target="https://docs.spring.io/spring-batch/reference/scalability.html" TargetMode="External"/><Relationship Id="rIdghxgzlat_ibugdywewfxt" Type="http://schemas.openxmlformats.org/officeDocument/2006/relationships/hyperlink" Target="https://docs.aws.amazon.com/glue/latest/dg/migrating-version-50.html" TargetMode="External"/><Relationship Id="rIdmmjac_ttmi0co75yhfxpe" Type="http://schemas.openxmlformats.org/officeDocument/2006/relationships/hyperlink" Target="https://aws.amazon.com/blogs/big-data/introducing-aws-glue-5-0-for-apache-spark/" TargetMode="External"/><Relationship Id="rIdfk8ugong5bba-p99rf_b6" Type="http://schemas.openxmlformats.org/officeDocument/2006/relationships/hyperlink" Target="https://docs.aws.amazon.com/m2/latest/userguide/ba-faq.html" TargetMode="External"/><Relationship Id="rIdxpv_kfewwesjto6lktkwi" Type="http://schemas.openxmlformats.org/officeDocument/2006/relationships/hyperlink" Target="https://www.ibm.com/docs/en/cobol-zos/6.4.0?topic=appendixes-intermediate-results-arithmetic-precision" TargetMode="External"/><Relationship Id="rIdyfuw1aa1nobwncrkaewxg" Type="http://schemas.openxmlformats.org/officeDocument/2006/relationships/hyperlink" Target="https://docs.veracode.com/r/c_static_overview"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Target-State Implementation Language Recommendation — Wholesale Carrier Access Billing</dc:title>
  <dc:creator>Architecture Advisory</dc:creator>
  <dc:description>Language evaluation for CABS mainframe-to-AWS migration</dc:description>
  <cp:lastModifiedBy>Un-named</cp:lastModifiedBy>
  <cp:revision>1</cp:revision>
  <dcterms:created xsi:type="dcterms:W3CDTF">2026-08-14T18:53:06.175Z</dcterms:created>
  <dcterms:modified xsi:type="dcterms:W3CDTF">2026-08-14T18:53:06.176Z</dcterms:modified>
</cp:coreProperties>
</file>

<file path=docProps/custom.xml><?xml version="1.0" encoding="utf-8"?>
<Properties xmlns="http://schemas.openxmlformats.org/officeDocument/2006/custom-properties" xmlns:vt="http://schemas.openxmlformats.org/officeDocument/2006/docPropsVTypes"/>
</file>