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Cloud Infrastructure EU v1.0</w:t>
      </w:r>
    </w:p>
    <w:p>
      <w:r>
        <w:t>Department: Cloud Infrastructure</w:t>
      </w:r>
    </w:p>
    <w:p>
      <w:r>
        <w:t>Author: Jordan Kim</w:t>
      </w:r>
    </w:p>
    <w:p>
      <w:r>
        <w:t>Created date: 2024-08-09</w:t>
      </w:r>
    </w:p>
    <w:p>
      <w:r>
        <w:t>Region: EU</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All incidents are tagged with severity and mapped to service tiers. Audit sampling occurs monthly and is summarized in leadership dashboards.</w:t>
      </w:r>
    </w:p>
    <w:p>
      <w:pPr>
        <w:pStyle w:val="ListBullet"/>
      </w:pPr>
      <w:r>
        <w:t>Escalations should follow the on-call rotation with a response target of 15 minutes.</w:t>
      </w:r>
    </w:p>
    <w:p>
      <w:pPr>
        <w:pStyle w:val="ListBullet"/>
      </w:pPr>
      <w:r>
        <w:t>Systems are monitored via Redis and alert routing in Salesforce.</w:t>
      </w:r>
    </w:p>
    <w:p>
      <w:pPr>
        <w:pStyle w:val="ListBullet"/>
      </w:pPr>
      <w:r>
        <w:t>Escalations should follow the on-call rotation with a response target of 15 minutes.</w:t>
      </w:r>
    </w:p>
    <w:p>
      <w:pPr>
        <w:pStyle w:val="ListBullet"/>
      </w:pPr>
      <w:r>
        <w:t>Stakeholders include the Procurement Lead, service owner, and compliance lead for approvals.</w:t>
      </w:r>
    </w:p>
    <w:p>
      <w:pPr>
        <w:pStyle w:val="ListBullet"/>
      </w:pPr>
      <w:r>
        <w:t>All changes require peer review and validation in the Ticketing Platform before production promotion.</w:t>
      </w:r>
    </w:p>
    <w:p>
      <w:pPr>
        <w:pStyle w:val="Heading1"/>
      </w:pPr>
      <w:r>
        <w:t>Endpoints</w:t>
      </w:r>
    </w:p>
    <w:p>
      <w:r>
        <w:t>All changes require peer review and validation in the Ticketing Platform before production promotion. All changes require peer review and validation in the Ticketing Platform before production promotion. Regional teams in EU follow the same policy with localized legal review. Risk acceptance must be documented and revalidated each quarter.</w:t>
      </w:r>
    </w:p>
    <w:p>
      <w:r>
        <w:t>The process integrates with Ticketing Platform and depends on Redis for telemetry signals. All incidents are tagged with severity and mapped to service tiers.</w:t>
      </w:r>
    </w:p>
    <w:p>
      <w:pPr>
        <w:pStyle w:val="ListBullet"/>
      </w:pPr>
      <w:r>
        <w:t>Teams must log requests in Salesforce and track outcomes in Ticketing Platform for audit readiness.</w:t>
      </w:r>
    </w:p>
    <w:p>
      <w:pPr>
        <w:pStyle w:val="ListBullet"/>
      </w:pPr>
      <w:r>
        <w:t>Audit sampling occurs monthly and is summarized in leadership dashboards.</w:t>
      </w:r>
    </w:p>
    <w:p>
      <w:pPr>
        <w:pStyle w:val="ListBullet"/>
      </w:pPr>
      <w:r>
        <w:t>Teams must log requests in Salesforce and track outcomes in Ticketing Platform for audit readiness.</w:t>
      </w:r>
    </w:p>
    <w:p>
      <w:pPr>
        <w:pStyle w:val="ListBullet"/>
      </w:pPr>
      <w:r>
        <w:t>Audit sampling occurs monthly and is summarized in leadership dashboards.</w:t>
      </w:r>
    </w:p>
    <w:p>
      <w:pPr>
        <w:pStyle w:val="ListBullet"/>
      </w:pPr>
      <w:r>
        <w:t>Teams must log requests in Salesforce and track outcomes in Ticketing Platform for audit readiness.</w:t>
      </w:r>
    </w:p>
    <w:p>
      <w:pPr>
        <w:pStyle w:val="ListBullet"/>
      </w:pPr>
      <w:r>
        <w:t>Systems are monitored via Redis and alert routing in Salesforce.</w:t>
      </w:r>
    </w:p>
    <w:p>
      <w:pPr>
        <w:pStyle w:val="Heading1"/>
      </w:pPr>
      <w:r>
        <w:t>Request and Response</w:t>
      </w:r>
    </w:p>
    <w:p>
      <w:r>
        <w:t>Audit sampling occurs monthly and is summarized in leadership dashboards. Evidence artifacts are retained in Salesforce for at least 36 months.</w:t>
      </w:r>
    </w:p>
    <w:p>
      <w:r>
        <w:t>This document aligns with SOX requirements and supports EU data residency expectations. The Cloud Infrastructure organization uses Redis to enforce consistent service baselines.</w:t>
      </w:r>
    </w:p>
    <w:p>
      <w:pPr>
        <w:pStyle w:val="ListBullet"/>
      </w:pPr>
      <w:r>
        <w:t>Teams must log requests in Salesforce and track outcomes in Ticketing Platform for audit readiness.</w:t>
      </w:r>
    </w:p>
    <w:p>
      <w:pPr>
        <w:pStyle w:val="ListBullet"/>
      </w:pPr>
      <w:r>
        <w:t>Stakeholders include the Procurement Lead, service owner, and compliance lead for approvals.</w:t>
      </w:r>
    </w:p>
    <w:p>
      <w:pPr>
        <w:pStyle w:val="ListBullet"/>
      </w:pPr>
      <w:r>
        <w:t>Evidence artifacts are retained in Salesforce for at least 36 months.</w:t>
      </w:r>
    </w:p>
    <w:p>
      <w:pPr>
        <w:pStyle w:val="Heading1"/>
      </w:pPr>
      <w:r>
        <w:t>Error Handling</w:t>
      </w:r>
    </w:p>
    <w:p>
      <w:r>
        <w:t>Stakeholders include the Procurement Lead, service owner, and compliance lead for approvals. The Cloud Infrastructure organization uses Redis to enforce consistent service baselines.</w:t>
      </w:r>
    </w:p>
    <w:p>
      <w:r>
        <w:t>The Cloud Infrastructure team coordinates with Procurement Lead to maintain operational readiness. Regional teams in EU follow the same policy with localized legal review. All incidents are tagged with severity and mapped to service tiers.</w:t>
      </w:r>
    </w:p>
    <w:p>
      <w:pPr>
        <w:pStyle w:val="ListBullet"/>
      </w:pPr>
      <w:r>
        <w:t>Escalations should follow the on-call rotation with a response target of 15 minutes.</w:t>
      </w:r>
    </w:p>
    <w:p>
      <w:pPr>
        <w:pStyle w:val="ListBullet"/>
      </w:pPr>
      <w:r>
        <w:t>The Cloud Infrastructure team coordinates with Procurement Lead to maintain operational readiness.</w:t>
      </w:r>
    </w:p>
    <w:p>
      <w:pPr>
        <w:pStyle w:val="ListBullet"/>
      </w:pPr>
      <w:r>
        <w:t>Stakeholders include the Procurement Lead, service owner, and compliance lead for approvals.</w:t>
      </w:r>
    </w:p>
    <w:p>
      <w:pPr>
        <w:pStyle w:val="ListBullet"/>
      </w:pPr>
      <w:r>
        <w:t>Risk acceptance must be documented and revalidated each quarter.</w:t>
      </w:r>
    </w:p>
    <w:p>
      <w:pPr>
        <w:pStyle w:val="Heading1"/>
      </w:pPr>
      <w:r>
        <w:t>Rate Limits</w:t>
      </w:r>
    </w:p>
    <w:p>
      <w:r>
        <w:t>Evidence artifacts are retained in Salesforce for at least 36 months. The process integrates with Ticketing Platform and depends on Redis for telemetry signals.</w:t>
      </w:r>
    </w:p>
    <w:p>
      <w:r>
        <w:t>Audit sampling occurs monthly and is summarized in leadership dashboards. The Cloud Infrastructure organization uses Redis to enforce consistent service baselines. This document aligns with SOX requirements and supports EU data residency expectations.</w:t>
      </w:r>
    </w:p>
    <w:p>
      <w:pPr>
        <w:pStyle w:val="ListBullet"/>
      </w:pPr>
      <w:r>
        <w:t>All incidents are tagged with severity and mapped to service tiers.</w:t>
      </w:r>
    </w:p>
    <w:p>
      <w:pPr>
        <w:pStyle w:val="ListBullet"/>
      </w:pPr>
      <w:r>
        <w:t>The process integrates with Ticketing Platform and depends on Redis for telemetry signals.</w:t>
      </w:r>
    </w:p>
    <w:p>
      <w:pPr>
        <w:pStyle w:val="ListBullet"/>
      </w:pPr>
      <w:r>
        <w:t>This document aligns with SOX requirements and supports EU data residency expectations.</w:t>
      </w:r>
    </w:p>
    <w:p>
      <w:pPr>
        <w:pStyle w:val="ListBullet"/>
      </w:pPr>
      <w:r>
        <w:t>All changes require peer review and validation in the Ticketing Platform before production promotion.</w:t>
      </w:r>
    </w:p>
    <w:p>
      <w:pPr>
        <w:pStyle w:val="ListBullet"/>
      </w:pPr>
      <w:r>
        <w:t>Regional teams in EU follow the same policy with localized legal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