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Compliance APAC v2.0</w:t>
      </w:r>
    </w:p>
    <w:p>
      <w:r>
        <w:t>Department: Compliance</w:t>
      </w:r>
    </w:p>
    <w:p>
      <w:r>
        <w:t>Author: Casey Garcia</w:t>
      </w:r>
    </w:p>
    <w:p>
      <w:r>
        <w:t>Created date: 2025-01-31</w:t>
      </w:r>
    </w:p>
    <w:p>
      <w:r>
        <w:t>Region: APAC</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Evidence artifacts are retained in Confluence for at least 24 months. We prioritize customer impact, data integrity, and regulatory alignment. All changes require peer review and validation in the CRM Platform before production promotion. Teams must log requests in Confluence and track outcomes in CRM Platform for audit readiness.</w:t>
      </w:r>
    </w:p>
    <w:p>
      <w:r>
        <w:t>All changes require peer review and validation in the CRM Platform before production promotion. Audit sampling occurs monthly and is summarized in leadership dashboards. Systems are monitored via ServiceNow and alert routing in Confluence.</w:t>
      </w:r>
    </w:p>
    <w:p>
      <w:pPr>
        <w:pStyle w:val="ListBullet"/>
      </w:pPr>
      <w:r>
        <w:t>Teams must log requests in Confluence and track outcomes in CRM Platform for audit readiness.</w:t>
      </w:r>
    </w:p>
    <w:p>
      <w:pPr>
        <w:pStyle w:val="ListBullet"/>
      </w:pPr>
      <w:r>
        <w:t>The Compliance team coordinates with Release Manager to maintain operational readiness.</w:t>
      </w:r>
    </w:p>
    <w:p>
      <w:pPr>
        <w:pStyle w:val="ListBullet"/>
      </w:pPr>
      <w:r>
        <w:t>We prioritize customer impact, data integrity, and regulatory alignment.</w:t>
      </w:r>
    </w:p>
    <w:p>
      <w:pPr>
        <w:pStyle w:val="ListBullet"/>
      </w:pPr>
      <w:r>
        <w:t>Systems are monitored via ServiceNow and alert routing in Confluence.</w:t>
      </w:r>
    </w:p>
    <w:p>
      <w:pPr>
        <w:pStyle w:val="ListBullet"/>
      </w:pPr>
      <w:r>
        <w:t>This document aligns with PCI DSS requirements and supports APAC data residency expectations.</w:t>
      </w:r>
    </w:p>
    <w:p>
      <w:pPr>
        <w:pStyle w:val="Heading1"/>
      </w:pPr>
      <w:r>
        <w:t>Endpoints</w:t>
      </w:r>
    </w:p>
    <w:p>
      <w:r>
        <w:t>Stakeholders include the Release Manager, service owner, and compliance lead for approvals. Audit sampling occurs monthly and is summarized in leadership dashboards.</w:t>
      </w:r>
    </w:p>
    <w:p>
      <w:pPr>
        <w:pStyle w:val="ListBullet"/>
      </w:pPr>
      <w:r>
        <w:t>Stakeholders include the Release Manager, service owner, and compliance lead for approvals.</w:t>
      </w:r>
    </w:p>
    <w:p>
      <w:pPr>
        <w:pStyle w:val="ListBullet"/>
      </w:pPr>
      <w:r>
        <w:t>This document aligns with PCI DSS requirements and supports APAC data residency expectations.</w:t>
      </w:r>
    </w:p>
    <w:p>
      <w:pPr>
        <w:pStyle w:val="ListBullet"/>
      </w:pPr>
      <w:r>
        <w:t>The process integrates with CRM Platform and depends on ServiceNow for telemetry signals.</w:t>
      </w:r>
    </w:p>
    <w:p>
      <w:pPr>
        <w:pStyle w:val="ListBullet"/>
      </w:pPr>
      <w:r>
        <w:t>Systems are monitored via ServiceNow and alert routing in Confluence.</w:t>
      </w:r>
    </w:p>
    <w:p>
      <w:pPr>
        <w:pStyle w:val="ListBullet"/>
      </w:pPr>
      <w:r>
        <w:t>All incidents are tagged with severity and mapped to service tiers.</w:t>
      </w:r>
    </w:p>
    <w:p>
      <w:pPr>
        <w:pStyle w:val="ListBullet"/>
      </w:pPr>
      <w:r>
        <w:t>Stakeholders include the Release Manager, service owner, and compliance lead for approvals.</w:t>
      </w:r>
    </w:p>
    <w:p>
      <w:pPr>
        <w:pStyle w:val="Heading1"/>
      </w:pPr>
      <w:r>
        <w:t>Request and Response</w:t>
      </w:r>
    </w:p>
    <w:p>
      <w:r>
        <w:t>Evidence artifacts are retained in Confluence for at least 24 months. The process integrates with CRM Platform and depends on ServiceNow for telemetry signals. Systems are monitored via ServiceNow and alert routing in Confluence.</w:t>
      </w:r>
    </w:p>
    <w:p>
      <w:r>
        <w:t>Systems are monitored via ServiceNow and alert routing in Confluence. This document aligns with PCI DSS requirements and supports APAC data residency expectations. The Compliance team coordinates with Release Manager to maintain operational readiness.</w:t>
      </w:r>
    </w:p>
    <w:p>
      <w:pPr>
        <w:pStyle w:val="ListBullet"/>
      </w:pPr>
      <w:r>
        <w:t>This document aligns with PCI DSS requirements and supports APAC data residency expectations.</w:t>
      </w:r>
    </w:p>
    <w:p>
      <w:pPr>
        <w:pStyle w:val="ListBullet"/>
      </w:pPr>
      <w:r>
        <w:t>All changes require peer review and validation in the CRM Platform before production promotion.</w:t>
      </w:r>
    </w:p>
    <w:p>
      <w:pPr>
        <w:pStyle w:val="ListBullet"/>
      </w:pPr>
      <w:r>
        <w:t>Regional teams in APAC follow the same policy with localized legal review.</w:t>
      </w:r>
    </w:p>
    <w:p>
      <w:pPr>
        <w:pStyle w:val="ListBullet"/>
      </w:pPr>
      <w:r>
        <w:t>Audit sampling occurs monthly and is summarized in leadership dashboards.</w:t>
      </w:r>
    </w:p>
    <w:p>
      <w:pPr>
        <w:pStyle w:val="Heading1"/>
      </w:pPr>
      <w:r>
        <w:t>Error Handling</w:t>
      </w:r>
    </w:p>
    <w:p>
      <w:r>
        <w:t>Audit sampling occurs monthly and is summarized in leadership dashboards. Stakeholders include the Release Manager, service owner, and compliance lead for approvals.</w:t>
      </w:r>
    </w:p>
    <w:p>
      <w:r>
        <w:t>Teams must log requests in Confluence and track outcomes in CRM Platform for audit readiness. This document aligns with PCI DSS requirements and supports APAC data residency expectations. The Compliance organization uses ServiceNow to enforce consistent service baselines.</w:t>
      </w:r>
    </w:p>
    <w:p>
      <w:pPr>
        <w:pStyle w:val="ListBullet"/>
      </w:pPr>
      <w:r>
        <w:t>Systems are monitored via ServiceNow and alert routing in Confluence.</w:t>
      </w:r>
    </w:p>
    <w:p>
      <w:pPr>
        <w:pStyle w:val="ListBullet"/>
      </w:pPr>
      <w:r>
        <w:t>All changes require peer review and validation in the CRM Platform before production promotion.</w:t>
      </w:r>
    </w:p>
    <w:p>
      <w:pPr>
        <w:pStyle w:val="ListBullet"/>
      </w:pPr>
      <w:r>
        <w:t>We prioritize customer impact, data integrity, and regulatory alignment.</w:t>
      </w:r>
    </w:p>
    <w:p>
      <w:pPr>
        <w:pStyle w:val="Heading1"/>
      </w:pPr>
      <w:r>
        <w:t>Rate Limits</w:t>
      </w:r>
    </w:p>
    <w:p>
      <w:r>
        <w:t>Systems are monitored via ServiceNow and alert routing in Confluence. We prioritize customer impact, data integrity, and regulatory alignment. Evidence artifacts are retained in Confluence for at least 24 months.</w:t>
      </w:r>
    </w:p>
    <w:p>
      <w:r>
        <w:t>The Compliance organization uses ServiceNow to enforce consistent service baselines. Stakeholders include the Release Manager, service owner, and compliance lead for approvals. All incidents are tagged with severity and mapped to service tiers.</w:t>
      </w:r>
    </w:p>
    <w:p>
      <w:pPr>
        <w:pStyle w:val="ListBullet"/>
      </w:pPr>
      <w:r>
        <w:t>All changes require peer review and validation in the CRM Platform before production promotion.</w:t>
      </w:r>
    </w:p>
    <w:p>
      <w:pPr>
        <w:pStyle w:val="ListBullet"/>
      </w:pPr>
      <w:r>
        <w:t>The Compliance organization uses ServiceNow to enforce consistent service baselines.</w:t>
      </w:r>
    </w:p>
    <w:p>
      <w:pPr>
        <w:pStyle w:val="ListBullet"/>
      </w:pPr>
      <w:r>
        <w:t>Systems are monitored via ServiceNow and alert routing in Confluence.</w:t>
      </w:r>
    </w:p>
    <w:p>
      <w:pPr>
        <w:pStyle w:val="ListBullet"/>
      </w:pPr>
      <w:r>
        <w:t>Systems are monitored via ServiceNow and alert routing in Confluence.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