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Compliance APAC v3.0</w:t>
      </w:r>
    </w:p>
    <w:p>
      <w:r>
        <w:t>Department: Compliance</w:t>
      </w:r>
    </w:p>
    <w:p>
      <w:r>
        <w:t>Author: Morgan Nguyen</w:t>
      </w:r>
    </w:p>
    <w:p>
      <w:r>
        <w:t>Created date: 2024-07-25</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This document aligns with PCI DSS requirements and supports APAC data residency expectations. All changes require peer review and validation in the Ticketing Platform before production promotion.</w:t>
      </w:r>
    </w:p>
    <w:p>
      <w:pPr>
        <w:pStyle w:val="ListBullet"/>
      </w:pPr>
      <w:r>
        <w:t>Stakeholders include the HR Business Partner, service owner, and compliance lead for approvals.</w:t>
      </w:r>
    </w:p>
    <w:p>
      <w:pPr>
        <w:pStyle w:val="ListBullet"/>
      </w:pPr>
      <w:r>
        <w:t>This document aligns with PCI DSS requirements and supports APAC data residency expectations.</w:t>
      </w:r>
    </w:p>
    <w:p>
      <w:pPr>
        <w:pStyle w:val="ListBullet"/>
      </w:pPr>
      <w:r>
        <w:t>Stakeholders include the HR Business Partner, service owner, and compliance lead for approvals.</w:t>
      </w:r>
    </w:p>
    <w:p>
      <w:pPr>
        <w:pStyle w:val="ListBullet"/>
      </w:pPr>
      <w:r>
        <w:t>Risk acceptance must be documented and revalidated each quarter.</w:t>
      </w:r>
    </w:p>
    <w:p>
      <w:pPr>
        <w:pStyle w:val="ListBullet"/>
      </w:pPr>
      <w:r>
        <w:t>The process integrates with Ticketing Platform and depends on Snowflake for telemetry signals.</w:t>
      </w:r>
    </w:p>
    <w:p>
      <w:pPr>
        <w:pStyle w:val="Heading1"/>
      </w:pPr>
      <w:r>
        <w:t>Endpoints</w:t>
      </w:r>
    </w:p>
    <w:p>
      <w:r>
        <w:t>All changes require peer review and validation in the Ticketing Platform before production promotion. Evidence artifacts are retained in Microsoft 365 for at least 18 months.</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Stakeholders include the HR Business Partner, service owner, and compliance lead for approvals.</w:t>
      </w:r>
    </w:p>
    <w:p>
      <w:pPr>
        <w:pStyle w:val="Heading1"/>
      </w:pPr>
      <w:r>
        <w:t>Request and Response</w:t>
      </w:r>
    </w:p>
    <w:p>
      <w:r>
        <w:t>We prioritize customer impact, data integrity, and regulatory alignment. Teams must log requests in Microsoft 365 and track outcomes in Ticketing Platform for audit readiness. Escalations should follow the on-call rotation with a response target of 30 minutes. The Compliance team coordinates with HR Business Partner to maintain operational readiness.</w:t>
      </w:r>
    </w:p>
    <w:p>
      <w:r>
        <w:t>Escalations should follow the on-call rotation with a response target of 30 minutes. All changes require peer review and validation in the Ticketing Platform before production promotion. We prioritize customer impact, data integrity, and regulatory alignment. Teams must log requests in Microsoft 365 and track outcomes in Ticketing Platform for audit readiness.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This document aligns with PCI DSS requirements and supports APAC data residency expectations.</w:t>
      </w:r>
    </w:p>
    <w:p>
      <w:pPr>
        <w:pStyle w:val="Heading1"/>
      </w:pPr>
      <w:r>
        <w:t>Error Handling</w:t>
      </w:r>
    </w:p>
    <w:p>
      <w:r>
        <w:t>This document aligns with PCI DSS requirements and supports APAC data residency expectations. Risk acceptance must be documented and revalidated each quarter. Evidence artifacts are retained in Microsoft 365 for at least 18 months.</w:t>
      </w:r>
    </w:p>
    <w:p>
      <w:pPr>
        <w:pStyle w:val="ListBullet"/>
      </w:pPr>
      <w:r>
        <w:t>All changes require peer review and validation in the Ticketing Platform before production promotion.</w:t>
      </w:r>
    </w:p>
    <w:p>
      <w:pPr>
        <w:pStyle w:val="ListBullet"/>
      </w:pPr>
      <w:r>
        <w:t>Stakeholders include the HR Business Partner, service owner, and compliance lead for approvals.</w:t>
      </w:r>
    </w:p>
    <w:p>
      <w:pPr>
        <w:pStyle w:val="ListBullet"/>
      </w:pPr>
      <w:r>
        <w:t>Stakeholders include the HR Business Partner,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Vendor check</w:t>
            </w:r>
          </w:p>
        </w:tc>
        <w:tc>
          <w:tcPr>
            <w:tcW w:type="dxa" w:w="2880"/>
          </w:tcPr>
          <w:p>
            <w:r>
              <w:t>Operations</w:t>
            </w:r>
          </w:p>
        </w:tc>
        <w:tc>
          <w:tcPr>
            <w:tcW w:type="dxa" w:w="2880"/>
          </w:tcPr>
          <w:p>
            <w:r>
              <w:t>Planned</w:t>
            </w:r>
          </w:p>
        </w:tc>
      </w:tr>
    </w:tbl>
    <w:p>
      <w:pPr>
        <w:pStyle w:val="Heading1"/>
      </w:pPr>
      <w:r>
        <w:t>Rate Limits</w:t>
      </w:r>
    </w:p>
    <w:p>
      <w:r>
        <w:t>Evidence artifacts are retained in Microsoft 365 for at least 18 months. Systems are monitored via Snowflake and alert routing in Microsoft 365.</w:t>
      </w:r>
    </w:p>
    <w:p>
      <w:pPr>
        <w:pStyle w:val="ListBullet"/>
      </w:pPr>
      <w:r>
        <w:t>Evidence artifacts are retained in Microsoft 365 for at least 18 months.</w:t>
      </w:r>
    </w:p>
    <w:p>
      <w:pPr>
        <w:pStyle w:val="ListBullet"/>
      </w:pPr>
      <w:r>
        <w:t>Escalations should follow the on-call rotation with a response target of 30 minutes.</w:t>
      </w:r>
    </w:p>
    <w:p>
      <w:pPr>
        <w:pStyle w:val="ListBullet"/>
      </w:pPr>
      <w:r>
        <w:t>Escalations should follow the on-call rotation with a response target of 30 minutes.</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The process integrates with Ticketing Platform and depends on Snowflake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