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Compliance EU v2.1</w:t>
      </w:r>
    </w:p>
    <w:p>
      <w:r>
        <w:t>Department: Compliance</w:t>
      </w:r>
    </w:p>
    <w:p>
      <w:r>
        <w:t>Author: Alex Kim</w:t>
      </w:r>
    </w:p>
    <w:p>
      <w:r>
        <w:t>Created date: 2025-06-17</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All changes require peer review and validation in the Payment Processing Service before production promotion. Evidence artifacts are retained in Microsoft 365 for at least 18 months. Escalations should follow the on-call rotation with a response target of 15 minutes. Systems are monitored via GCP and alert routing in Microsoft 365.</w:t>
      </w:r>
    </w:p>
    <w:p>
      <w:pPr>
        <w:pStyle w:val="ListBullet"/>
      </w:pPr>
      <w:r>
        <w:t>The Compliance organization uses GCP to enforce consistent service baselines.</w:t>
      </w:r>
    </w:p>
    <w:p>
      <w:pPr>
        <w:pStyle w:val="ListBullet"/>
      </w:pPr>
      <w:r>
        <w:t>Systems are monitored via GCP and alert routing in Microsoft 365.</w:t>
      </w:r>
    </w:p>
    <w:p>
      <w:pPr>
        <w:pStyle w:val="ListBullet"/>
      </w:pPr>
      <w:r>
        <w:t>This document aligns with SOC 2 requirements and supports EU data residency expectations.</w:t>
      </w:r>
    </w:p>
    <w:p>
      <w:pPr>
        <w:pStyle w:val="Heading1"/>
      </w:pPr>
      <w:r>
        <w:t>Endpoints</w:t>
      </w:r>
    </w:p>
    <w:p>
      <w:r>
        <w:t>This document aligns with SOC 2 requirements and supports EU data residency expectations. Escalations should follow the on-call rotation with a response target of 15 minutes.</w:t>
      </w:r>
    </w:p>
    <w:p>
      <w:r>
        <w:t>Regional teams in EU follow the same policy with localized legal review. Stakeholders include the Compliance Manager, service owner, and compliance lead for approvals. Risk acceptance must be documented and revalidated each quarter.</w:t>
      </w:r>
    </w:p>
    <w:p>
      <w:pPr>
        <w:pStyle w:val="ListBullet"/>
      </w:pPr>
      <w:r>
        <w:t>Escalations should follow the on-call rotation with a response target of 15 minutes.</w:t>
      </w:r>
    </w:p>
    <w:p>
      <w:pPr>
        <w:pStyle w:val="ListBullet"/>
      </w:pPr>
      <w:r>
        <w:t>All changes require peer review and validation in the Payment Processing Service before production promotion.</w:t>
      </w:r>
    </w:p>
    <w:p>
      <w:pPr>
        <w:pStyle w:val="ListBullet"/>
      </w:pPr>
      <w:r>
        <w:t>The Compliance organization uses GCP to enforce consistent service baselines.</w:t>
      </w:r>
    </w:p>
    <w:p>
      <w:pPr>
        <w:pStyle w:val="ListBullet"/>
      </w:pPr>
      <w:r>
        <w:t>Teams must log requests in Microsoft 365 and track outcomes in Payment Processing Service for audit readiness.</w:t>
      </w:r>
    </w:p>
    <w:p>
      <w:pPr>
        <w:pStyle w:val="ListBullet"/>
      </w:pPr>
      <w:r>
        <w:t>All changes require peer review and validation in the Payment Processing Service before production promotion.</w:t>
      </w:r>
    </w:p>
    <w:p>
      <w:pPr>
        <w:pStyle w:val="Heading1"/>
      </w:pPr>
      <w:r>
        <w:t>Request and Response</w:t>
      </w:r>
    </w:p>
    <w:p>
      <w:r>
        <w:t>Stakeholders include the Compliance Manager, service owner, and compliance lead for approvals. All changes require peer review and validation in the Payment Processing Service before production promotion.</w:t>
      </w:r>
    </w:p>
    <w:p>
      <w:r>
        <w:t>Evidence artifacts are retained in Microsoft 365 for at least 18 months. Risk acceptance must be documented and revalidated each quarter. All incidents are tagged with severity and mapped to service tiers. The Compliance organization uses GCP to enforce consistent service baselines.</w:t>
      </w:r>
    </w:p>
    <w:p>
      <w:pPr>
        <w:pStyle w:val="ListBullet"/>
      </w:pPr>
      <w:r>
        <w:t>Regional teams in EU follow the same policy with localized legal review.</w:t>
      </w:r>
    </w:p>
    <w:p>
      <w:pPr>
        <w:pStyle w:val="ListBullet"/>
      </w:pPr>
      <w:r>
        <w:t>Audit sampling occurs monthly and is summarized in leadership dashboards.</w:t>
      </w:r>
    </w:p>
    <w:p>
      <w:pPr>
        <w:pStyle w:val="ListBullet"/>
      </w:pPr>
      <w:r>
        <w:t>Systems are monitored via GCP and alert routing in Microsoft 365.</w:t>
      </w:r>
    </w:p>
    <w:p>
      <w:pPr>
        <w:pStyle w:val="ListBullet"/>
      </w:pPr>
      <w:r>
        <w:t>The Compliance organization uses GCP to enforce consistent service baselines.</w:t>
      </w:r>
    </w:p>
    <w:p>
      <w:pPr>
        <w:pStyle w:val="ListBullet"/>
      </w:pPr>
      <w:r>
        <w:t>Evidence artifacts are retained in Microsoft 365 for at least 18 months.</w:t>
      </w:r>
    </w:p>
    <w:p>
      <w:pPr>
        <w:pStyle w:val="ListBullet"/>
      </w:pPr>
      <w:r>
        <w:t>All changes require peer review and validation in the Payment Processing Service before production promotion.</w:t>
      </w:r>
    </w:p>
    <w:p>
      <w:pPr>
        <w:pStyle w:val="Heading1"/>
      </w:pPr>
      <w:r>
        <w:t>Error Handling</w:t>
      </w:r>
    </w:p>
    <w:p>
      <w:r>
        <w:t>The Compliance team coordinates with Compliance Manager to maintain operational readiness. Audit sampling occurs monthly and is summarized in leadership dashboards. Risk acceptance must be documented and revalidated each quarter. Teams must log requests in Microsoft 365 and track outcomes in Payment Processing Service for audit readiness.</w:t>
      </w:r>
    </w:p>
    <w:p>
      <w:pPr>
        <w:pStyle w:val="ListBullet"/>
      </w:pPr>
      <w:r>
        <w:t>Escalations should follow the on-call rotation with a response target of 15 minutes.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Stakeholders include the Compliance Manager, service owner, and compliance lead for approvals.</w:t>
      </w:r>
    </w:p>
    <w:p>
      <w:pPr>
        <w:pStyle w:val="ListBullet"/>
      </w:pPr>
      <w:r>
        <w:t>This document aligns with SOC 2 requirements and supports EU data residency expectations.</w:t>
      </w:r>
    </w:p>
    <w:p>
      <w:pPr>
        <w:pStyle w:val="ListBullet"/>
      </w:pPr>
      <w:r>
        <w:t>Systems are monitored via GCP and alert routing in Microsoft 365.</w:t>
      </w:r>
    </w:p>
    <w:p>
      <w:pPr>
        <w:pStyle w:val="Heading1"/>
      </w:pPr>
      <w:r>
        <w:t>Rate Limits</w:t>
      </w:r>
    </w:p>
    <w:p>
      <w:r>
        <w:t>All changes require peer review and validation in the Payment Processing Service before production promotion. All incidents are tagged with severity and mapped to service tiers. Teams must log requests in Microsoft 365 and track outcomes in Payment Processing Service for audit readiness. Systems are monitored via GCP and alert routing in Microsoft 365.</w:t>
      </w:r>
    </w:p>
    <w:p>
      <w:pPr>
        <w:pStyle w:val="ListBullet"/>
      </w:pPr>
      <w:r>
        <w:t>Systems are monitored via GCP and alert routing in Microsoft 365.</w:t>
      </w:r>
    </w:p>
    <w:p>
      <w:pPr>
        <w:pStyle w:val="ListBullet"/>
      </w:pPr>
      <w:r>
        <w:t>We prioritize customer impact, data integrity, and regulatory alignment.</w:t>
      </w:r>
    </w:p>
    <w:p>
      <w:pPr>
        <w:pStyle w:val="ListBullet"/>
      </w:pPr>
      <w:r>
        <w:t>Escalations should follow the on-call rotation with a response target of 15 minutes.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Planned</w:t>
            </w:r>
          </w:p>
        </w:tc>
      </w:tr>
      <w:tr>
        <w:tc>
          <w:tcPr>
            <w:tcW w:type="dxa" w:w="2880"/>
          </w:tcPr>
          <w:p>
            <w:r>
              <w:t>Backup validation</w:t>
            </w:r>
          </w:p>
        </w:tc>
        <w:tc>
          <w:tcPr>
            <w:tcW w:type="dxa" w:w="2880"/>
          </w:tcPr>
          <w:p>
            <w:r>
              <w:t>Compliance Manager</w:t>
            </w:r>
          </w:p>
        </w:tc>
        <w:tc>
          <w:tcPr>
            <w:tcW w:type="dxa" w:w="2880"/>
          </w:tcPr>
          <w:p>
            <w:r>
              <w:t>In Progress</w:t>
            </w:r>
          </w:p>
        </w:tc>
      </w:tr>
      <w:tr>
        <w:tc>
          <w:tcPr>
            <w:tcW w:type="dxa" w:w="2880"/>
          </w:tcPr>
          <w:p>
            <w:r>
              <w:t>Vendor check</w:t>
            </w:r>
          </w:p>
        </w:tc>
        <w:tc>
          <w:tcPr>
            <w:tcW w:type="dxa" w:w="2880"/>
          </w:tcPr>
          <w:p>
            <w:r>
              <w:t>Compliance Manager</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