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Compliance US v1.2</w:t>
      </w:r>
    </w:p>
    <w:p>
      <w:r>
        <w:t>Department: Compliance</w:t>
      </w:r>
    </w:p>
    <w:p>
      <w:r>
        <w:t>Author: Casey Brown</w:t>
      </w:r>
    </w:p>
    <w:p>
      <w:r>
        <w:t>Created date: 2025-02-12</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The process integrates with Customer Data Lake and depends on Prometheus for telemetry signals. Regional teams in US follow the same policy with localized legal review.</w:t>
      </w:r>
    </w:p>
    <w:p>
      <w:r>
        <w:t>Escalations should follow the on-call rotation with a response target of 15 minutes. The Compliance team coordinates with Systems Engineer to maintain operational readiness. All incidents are tagged with severity and mapped to service tiers. All changes require peer review and validation in the Customer Data Lake before production promotion.</w:t>
      </w:r>
    </w:p>
    <w:p>
      <w:pPr>
        <w:pStyle w:val="ListBullet"/>
      </w:pPr>
      <w:r>
        <w:t>Risk acceptance must be documented and revalidated each quarter.</w:t>
      </w:r>
    </w:p>
    <w:p>
      <w:pPr>
        <w:pStyle w:val="ListBullet"/>
      </w:pPr>
      <w:r>
        <w:t>Teams must log requests in Salesforce and track outcomes in Customer Data Lake for audit readiness.</w:t>
      </w:r>
    </w:p>
    <w:p>
      <w:pPr>
        <w:pStyle w:val="ListBullet"/>
      </w:pPr>
      <w:r>
        <w:t>This document aligns with HIPAA requirements and supports US data residency expectations.</w:t>
      </w:r>
    </w:p>
    <w:p>
      <w:pPr>
        <w:pStyle w:val="ListBullet"/>
      </w:pPr>
      <w:r>
        <w:t>The Compliance organization uses Prometheus to enforce consistent service baselines.</w:t>
      </w:r>
    </w:p>
    <w:p>
      <w:pPr>
        <w:pStyle w:val="ListBullet"/>
      </w:pPr>
      <w:r>
        <w:t>Risk acceptance must be documented and revalidated each quarter.</w:t>
      </w:r>
    </w:p>
    <w:p>
      <w:pPr>
        <w:pStyle w:val="ListBullet"/>
      </w:pPr>
      <w:r>
        <w:t>Escalations should follow the on-call rotation with a response target of 15 minutes.</w:t>
      </w:r>
    </w:p>
    <w:p>
      <w:pPr>
        <w:pStyle w:val="Heading1"/>
      </w:pPr>
      <w:r>
        <w:t>Endpoints</w:t>
      </w:r>
    </w:p>
    <w:p>
      <w:r>
        <w:t>Regional teams in US follow the same policy with localized legal review. Systems are monitored via Prometheus and alert routing in Salesforce. The Compliance team coordinates with Systems Engineer to maintain operational readiness.</w:t>
      </w:r>
    </w:p>
    <w:p>
      <w:r>
        <w:t>Systems are monitored via Prometheus and alert routing in Salesforce. The Compliance organization uses Prometheus to enforce consistent service baselines. This document aligns with HIPAA requirements and supports US data residency expectations. Escalations should follow the on-call rotation with a response target of 15 minutes.</w:t>
      </w:r>
    </w:p>
    <w:p>
      <w:pPr>
        <w:pStyle w:val="ListBullet"/>
      </w:pPr>
      <w:r>
        <w:t>All changes require peer review and validation in the Customer Data Lake before production promotion.</w:t>
      </w:r>
    </w:p>
    <w:p>
      <w:pPr>
        <w:pStyle w:val="ListBullet"/>
      </w:pPr>
      <w:r>
        <w:t>Evidence artifacts are retained in Salesforce for at least 24 months.</w:t>
      </w:r>
    </w:p>
    <w:p>
      <w:pPr>
        <w:pStyle w:val="ListBullet"/>
      </w:pPr>
      <w:r>
        <w:t>Escalations should follow the on-call rotation with a response target of 15 minutes.</w:t>
      </w:r>
    </w:p>
    <w:p>
      <w:pPr>
        <w:pStyle w:val="Heading1"/>
      </w:pPr>
      <w:r>
        <w:t>Request and Response</w:t>
      </w:r>
    </w:p>
    <w:p>
      <w:r>
        <w:t>Audit sampling occurs monthly and is summarized in leadership dashboards. Evidence artifacts are retained in Salesforce for at least 24 months.</w:t>
      </w:r>
    </w:p>
    <w:p>
      <w:r>
        <w:t>This document aligns with HIPAA requirements and supports US data residency expectations. Risk acceptance must be documented and revalidated each quarter. All changes require peer review and validation in the Customer Data Lake before production promotion. The process integrates with Customer Data Lake and depends on Prometheus for telemetry signals.</w:t>
      </w:r>
    </w:p>
    <w:p>
      <w:pPr>
        <w:pStyle w:val="ListBullet"/>
      </w:pPr>
      <w:r>
        <w:t>Teams must log requests in Salesforce and track outcomes in Customer Data Lake for audit readiness.</w:t>
      </w:r>
    </w:p>
    <w:p>
      <w:pPr>
        <w:pStyle w:val="ListBullet"/>
      </w:pPr>
      <w:r>
        <w:t>Regional teams in US follow the same policy with localized legal review.</w:t>
      </w:r>
    </w:p>
    <w:p>
      <w:pPr>
        <w:pStyle w:val="ListBullet"/>
      </w:pPr>
      <w:r>
        <w:t>Evidence artifacts are retained in Salesforce for at least 24 months.</w:t>
      </w:r>
    </w:p>
    <w:p>
      <w:pPr>
        <w:pStyle w:val="ListBullet"/>
      </w:pPr>
      <w:r>
        <w:t>The Compliance organization uses Prometheus to enforce consistent service baselines.</w:t>
      </w:r>
    </w:p>
    <w:p>
      <w:pPr>
        <w:pStyle w:val="ListBullet"/>
      </w:pPr>
      <w:r>
        <w:t>The process integrates with Customer Data Lake and depends on Prometheus for telemetry signals.</w:t>
      </w:r>
    </w:p>
    <w:p>
      <w:pPr>
        <w:pStyle w:val="Heading1"/>
      </w:pPr>
      <w:r>
        <w:t>Error Handling</w:t>
      </w:r>
    </w:p>
    <w:p>
      <w:r>
        <w:t>Stakeholders include the Systems Engineer, service owner, and compliance lead for approvals. Teams must log requests in Salesforce and track outcomes in Customer Data Lake for audit readiness. Escalations should follow the on-call rotation with a response target of 15 minutes. Systems are monitored via Prometheus and alert routing in Salesforce.</w:t>
      </w:r>
    </w:p>
    <w:p>
      <w:r>
        <w:t>Systems are monitored via Prometheus and alert routing in Salesforce. The Compliance organization uses Prometheus to enforce consistent service baselines. Escalations should follow the on-call rotation with a response target of 15 minutes.</w:t>
      </w:r>
    </w:p>
    <w:p>
      <w:pPr>
        <w:pStyle w:val="ListBullet"/>
      </w:pPr>
      <w:r>
        <w:t>Stakeholders include the Systems Engineer, service owner, and compliance lead for approvals.</w:t>
      </w:r>
    </w:p>
    <w:p>
      <w:pPr>
        <w:pStyle w:val="ListBullet"/>
      </w:pPr>
      <w:r>
        <w:t>Escalations should follow the on-call rotation with a response target of 15 minutes.</w:t>
      </w:r>
    </w:p>
    <w:p>
      <w:pPr>
        <w:pStyle w:val="ListBullet"/>
      </w:pPr>
      <w:r>
        <w:t>We prioritize customer impact, data integrity, and regulatory alignment.</w:t>
      </w:r>
    </w:p>
    <w:p>
      <w:pPr>
        <w:pStyle w:val="ListBullet"/>
      </w:pPr>
      <w:r>
        <w:t>This document aligns with HIPAA requirements and supports US data residency expectations.</w:t>
      </w:r>
    </w:p>
    <w:p>
      <w:pPr>
        <w:pStyle w:val="ListBullet"/>
      </w:pPr>
      <w:r>
        <w:t>Systems are monitored via Prometheus and alert routing in Salesforce.</w:t>
      </w:r>
    </w:p>
    <w:p>
      <w:pPr>
        <w:pStyle w:val="Heading1"/>
      </w:pPr>
      <w:r>
        <w:t>Rate Limits</w:t>
      </w:r>
    </w:p>
    <w:p>
      <w:r>
        <w:t>The process integrates with Customer Data Lake and depends on Prometheus for telemetry signals. Stakeholders include the Systems Engineer, service owner, and compliance lead for approvals. Regional teams in US follow the same policy with localized legal review.</w:t>
      </w:r>
    </w:p>
    <w:p>
      <w:pPr>
        <w:pStyle w:val="ListBullet"/>
      </w:pPr>
      <w:r>
        <w:t>Regional teams in US follow the same policy with localized legal review.</w:t>
      </w:r>
    </w:p>
    <w:p>
      <w:pPr>
        <w:pStyle w:val="ListBullet"/>
      </w:pPr>
      <w:r>
        <w:t>Evidence artifacts are retained in Salesforce for at least 24 months.</w:t>
      </w:r>
    </w:p>
    <w:p>
      <w:pPr>
        <w:pStyle w:val="ListBullet"/>
      </w:pPr>
      <w:r>
        <w:t>Teams must log requests in Salesforce and track outcomes in Customer Data Lake for audit readiness.</w:t>
      </w:r>
    </w:p>
    <w:p>
      <w:pPr>
        <w:pStyle w:val="ListBullet"/>
      </w:pPr>
      <w:r>
        <w:t>All changes require peer review and validation in the Customer Data Lake before production promotion.</w:t>
      </w:r>
    </w:p>
    <w:p>
      <w:pPr>
        <w:pStyle w:val="ListBullet"/>
      </w:pPr>
      <w:r>
        <w:t>All changes require peer review and validation in the Customer Data Lake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