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Compliance US v2.1</w:t>
      </w:r>
    </w:p>
    <w:p>
      <w:r>
        <w:t>Department: Compliance</w:t>
      </w:r>
    </w:p>
    <w:p>
      <w:r>
        <w:t>Author: Taylor Brown</w:t>
      </w:r>
    </w:p>
    <w:p>
      <w:r>
        <w:t>Created date: 2024-07-25</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Stakeholders include the Procurement Lead, service owner, and compliance lead for approvals. The process integrates with Monitoring Stack and depends on Redis for telemetry signals.</w:t>
      </w:r>
    </w:p>
    <w:p>
      <w:pPr>
        <w:pStyle w:val="ListBullet"/>
      </w:pPr>
      <w:r>
        <w:t>The Compliance team coordinates with Procurement Lead to maintain operational readiness.</w:t>
      </w:r>
    </w:p>
    <w:p>
      <w:pPr>
        <w:pStyle w:val="ListBullet"/>
      </w:pPr>
      <w:r>
        <w:t>Teams must log requests in Confluence and track outcomes in Monitoring Stack for audit readiness.</w:t>
      </w:r>
    </w:p>
    <w:p>
      <w:pPr>
        <w:pStyle w:val="ListBullet"/>
      </w:pPr>
      <w:r>
        <w:t>All incidents are tagged with severity and mapped to service tiers.</w:t>
      </w:r>
    </w:p>
    <w:p>
      <w:pPr>
        <w:pStyle w:val="ListBullet"/>
      </w:pPr>
      <w:r>
        <w:t>All incidents are tagged with severity and mapped to service tiers.</w:t>
      </w:r>
    </w:p>
    <w:p>
      <w:pPr>
        <w:pStyle w:val="Heading1"/>
      </w:pPr>
      <w:r>
        <w:t>Endpoints</w:t>
      </w:r>
    </w:p>
    <w:p>
      <w:r>
        <w:t>Stakeholders include the Procurement Lead, service owner, and compliance lead for approvals. Regional teams in US follow the same policy with localized legal review. The Compliance team coordinates with Procurement Lead to maintain operational readiness.</w:t>
      </w:r>
    </w:p>
    <w:p>
      <w:r>
        <w:t>The Compliance team coordinates with Procurement Lead to maintain operational readiness. Systems are monitored via Redis and alert routing in Confluence.</w:t>
      </w:r>
    </w:p>
    <w:p>
      <w:pPr>
        <w:pStyle w:val="ListBullet"/>
      </w:pPr>
      <w:r>
        <w:t>Stakeholders include the Procurement Lead, service owner, and compliance lead for approvals.</w:t>
      </w:r>
    </w:p>
    <w:p>
      <w:pPr>
        <w:pStyle w:val="ListBullet"/>
      </w:pPr>
      <w:r>
        <w:t>Evidence artifacts are retained in Confluence for at least 12 months.</w:t>
      </w:r>
    </w:p>
    <w:p>
      <w:pPr>
        <w:pStyle w:val="ListBullet"/>
      </w:pPr>
      <w:r>
        <w:t>The Compliance organization uses Redis to enforce consistent service baselines.</w:t>
      </w:r>
    </w:p>
    <w:p>
      <w:pPr>
        <w:pStyle w:val="ListBullet"/>
      </w:pPr>
      <w:r>
        <w:t>Regional teams in US follow the same policy with localized legal review.</w:t>
      </w:r>
    </w:p>
    <w:p>
      <w:pPr>
        <w:pStyle w:val="ListBullet"/>
      </w:pPr>
      <w:r>
        <w:t>The Compliance organization uses Redis to enforce consistent service baselines.</w:t>
      </w:r>
    </w:p>
    <w:p>
      <w:pPr>
        <w:pStyle w:val="ListBullet"/>
      </w:pPr>
      <w:r>
        <w:t>All incidents are tagged with severity and mapped to service tiers.</w:t>
      </w:r>
    </w:p>
    <w:p>
      <w:pPr>
        <w:pStyle w:val="Heading1"/>
      </w:pPr>
      <w:r>
        <w:t>Request and Response</w:t>
      </w:r>
    </w:p>
    <w:p>
      <w:r>
        <w:t>Stakeholders include the Procurement Lead, service owner, and compliance lead for approvals. Stakeholders include the Procurement Lead, service owner, and compliance lead for approvals. Teams must log requests in Confluence and track outcomes in Monitoring Stack for audit readiness. The Compliance team coordinates with Procurement Lead to maintain operational readiness.</w:t>
      </w:r>
    </w:p>
    <w:p>
      <w:pPr>
        <w:pStyle w:val="ListBullet"/>
      </w:pPr>
      <w:r>
        <w:t>Risk acceptance must be documented and revalidated each quarter.</w:t>
      </w:r>
    </w:p>
    <w:p>
      <w:pPr>
        <w:pStyle w:val="ListBullet"/>
      </w:pPr>
      <w:r>
        <w:t>Audit sampling occurs monthly and is summarized in leadership dashboards.</w:t>
      </w:r>
    </w:p>
    <w:p>
      <w:pPr>
        <w:pStyle w:val="ListBullet"/>
      </w:pPr>
      <w:r>
        <w:t>Teams must log requests in Confluence and track outcomes in Monitoring Stack for audit readiness.</w:t>
      </w:r>
    </w:p>
    <w:p>
      <w:pPr>
        <w:pStyle w:val="ListBullet"/>
      </w:pPr>
      <w:r>
        <w:t>Evidence artifacts are retained in Confluence for at least 12 months.</w:t>
      </w:r>
    </w:p>
    <w:p>
      <w:pPr>
        <w:pStyle w:val="ListBullet"/>
      </w:pPr>
      <w:r>
        <w:t>Stakeholders include the Procurement Lead, service owner, and compliance lead for approvals.</w:t>
      </w:r>
    </w:p>
    <w:p>
      <w:pPr>
        <w:pStyle w:val="Heading1"/>
      </w:pPr>
      <w:r>
        <w:t>Error Handling</w:t>
      </w:r>
    </w:p>
    <w:p>
      <w:r>
        <w:t>All incidents are tagged with severity and mapped to service tiers. Risk acceptance must be documented and revalidated each quarter.</w:t>
      </w:r>
    </w:p>
    <w:p>
      <w:r>
        <w:t>The Compliance team coordinates with Procurement Lead to maintain operational readiness. Risk acceptance must be documented and revalidated each quarter.</w:t>
      </w:r>
    </w:p>
    <w:p>
      <w:pPr>
        <w:pStyle w:val="ListBullet"/>
      </w:pPr>
      <w:r>
        <w:t>All changes require peer review and validation in the Monitoring Stack before production promotion.</w:t>
      </w:r>
    </w:p>
    <w:p>
      <w:pPr>
        <w:pStyle w:val="ListBullet"/>
      </w:pPr>
      <w:r>
        <w:t>Evidence artifacts are retained in Confluence for at least 12 months.</w:t>
      </w:r>
    </w:p>
    <w:p>
      <w:pPr>
        <w:pStyle w:val="ListBullet"/>
      </w:pPr>
      <w:r>
        <w:t>Systems are monitored via Redis and alert routing in Confluence.</w:t>
      </w:r>
    </w:p>
    <w:p>
      <w:pPr>
        <w:pStyle w:val="ListBullet"/>
      </w:pPr>
      <w:r>
        <w:t>Escalations should follow the on-call rotation with a response target of 15 minutes.</w:t>
      </w:r>
    </w:p>
    <w:p>
      <w:pPr>
        <w:pStyle w:val="ListBullet"/>
      </w:pPr>
      <w:r>
        <w:t>The process integrates with Monitoring Stack and depends on Redis for telemetry signals.</w:t>
      </w:r>
    </w:p>
    <w:p>
      <w:pPr>
        <w:pStyle w:val="Heading1"/>
      </w:pPr>
      <w:r>
        <w:t>Rate Limits</w:t>
      </w:r>
    </w:p>
    <w:p>
      <w:r>
        <w:t>This document aligns with GDPR requirements and supports US data residency expectations. Escalations should follow the on-call rotation with a response target of 15 minutes. Regional teams in US follow the same policy with localized legal review. Stakeholders include the Procurement Lead, service owner, and compliance lead for approvals.</w:t>
      </w:r>
    </w:p>
    <w:p>
      <w:pPr>
        <w:pStyle w:val="ListBullet"/>
      </w:pPr>
      <w:r>
        <w:t>The process integrates with Monitoring Stack and depends on Redis for telemetry signals.</w:t>
      </w:r>
    </w:p>
    <w:p>
      <w:pPr>
        <w:pStyle w:val="ListBullet"/>
      </w:pPr>
      <w:r>
        <w:t>We prioritize customer impact, data integrity, and regulatory alignment.</w:t>
      </w:r>
    </w:p>
    <w:p>
      <w:pPr>
        <w:pStyle w:val="ListBullet"/>
      </w:pPr>
      <w:r>
        <w:t>Audit sampling occurs monthly and is summarized in leadership dashboards.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Compliance</w:t>
            </w:r>
          </w:p>
        </w:tc>
        <w:tc>
          <w:tcPr>
            <w:tcW w:type="dxa" w:w="2880"/>
          </w:tcPr>
          <w:p>
            <w:r>
              <w:t>Complete</w:t>
            </w:r>
          </w:p>
        </w:tc>
      </w:tr>
      <w:tr>
        <w:tc>
          <w:tcPr>
            <w:tcW w:type="dxa" w:w="2880"/>
          </w:tcPr>
          <w:p>
            <w:r>
              <w:t>Vendor check</w:t>
            </w:r>
          </w:p>
        </w:tc>
        <w:tc>
          <w:tcPr>
            <w:tcW w:type="dxa" w:w="2880"/>
          </w:tcPr>
          <w:p>
            <w:r>
              <w:t>Compliance</w:t>
            </w:r>
          </w:p>
        </w:tc>
        <w:tc>
          <w:tcPr>
            <w:tcW w:type="dxa" w:w="2880"/>
          </w:tcPr>
          <w:p>
            <w:r>
              <w:t>Blocked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