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Data Platform US v3.0</w:t>
      </w:r>
    </w:p>
    <w:p>
      <w:r>
        <w:t>Department: Data Platform</w:t>
      </w:r>
    </w:p>
    <w:p>
      <w:r>
        <w:t>Author: Taylor Kim</w:t>
      </w:r>
    </w:p>
    <w:p>
      <w:r>
        <w:t>Created date: 2024-01-08</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The Data Platform team coordinates with Release Manager to maintain operational readiness. All incidents are tagged with severity and mapped to service tiers. This document aligns with HIPAA requirements and supports US data residency expectations. The process integrates with Ticketing Platform and depends on ServiceNow for telemetry signals.</w:t>
      </w:r>
    </w:p>
    <w:p>
      <w:r>
        <w:t>All incidents are tagged with severity and mapped to service tiers. Risk acceptance must be documented and revalidated each quarter. This document aligns with HIPAA requirements and supports US data residency expectations.</w:t>
      </w:r>
    </w:p>
    <w:p>
      <w:pPr>
        <w:pStyle w:val="ListBullet"/>
      </w:pPr>
      <w:r>
        <w:t>All incidents are tagged with severity and mapped to service tiers.</w:t>
      </w:r>
    </w:p>
    <w:p>
      <w:pPr>
        <w:pStyle w:val="ListBullet"/>
      </w:pPr>
      <w:r>
        <w:t>Stakeholders include the Release Manager, service owner, and compliance lead for approvals.</w:t>
      </w:r>
    </w:p>
    <w:p>
      <w:pPr>
        <w:pStyle w:val="ListBullet"/>
      </w:pPr>
      <w:r>
        <w:t>Risk acceptance must be documented and revalidated each quarter.</w:t>
      </w:r>
    </w:p>
    <w:p>
      <w:pPr>
        <w:pStyle w:val="ListBullet"/>
      </w:pPr>
      <w:r>
        <w:t>This document aligns with HIPAA requirements and supports US data residency expectations.</w:t>
      </w:r>
    </w:p>
    <w:p>
      <w:pPr>
        <w:pStyle w:val="Heading1"/>
      </w:pPr>
      <w:r>
        <w:t>Endpoints</w:t>
      </w:r>
    </w:p>
    <w:p>
      <w:r>
        <w:t>Regional teams in US follow the same policy with localized legal review. Regional teams in US follow the same policy with localized legal review. Teams must log requests in SAP and track outcomes in Ticketing Platform for audit readiness. We prioritize customer impact, data integrity, and regulatory alignment.</w:t>
      </w:r>
    </w:p>
    <w:p>
      <w:r>
        <w:t>Escalations should follow the on-call rotation with a response target of 60 minutes. Audit sampling occurs monthly and is summarized in leadership dashboards.</w:t>
      </w:r>
    </w:p>
    <w:p>
      <w:pPr>
        <w:pStyle w:val="ListBullet"/>
      </w:pPr>
      <w:r>
        <w:t>All changes require peer review and validation in the Ticketing Platform before production promotion.</w:t>
      </w:r>
    </w:p>
    <w:p>
      <w:pPr>
        <w:pStyle w:val="ListBullet"/>
      </w:pPr>
      <w:r>
        <w:t>All changes require peer review and validation in the Ticketing Platform before production promotion.</w:t>
      </w:r>
    </w:p>
    <w:p>
      <w:pPr>
        <w:pStyle w:val="ListBullet"/>
      </w:pPr>
      <w:r>
        <w:t>The process integrates with Ticketing Platform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Data Platform</w:t>
            </w:r>
          </w:p>
        </w:tc>
        <w:tc>
          <w:tcPr>
            <w:tcW w:type="dxa" w:w="2880"/>
          </w:tcPr>
          <w:p>
            <w:r>
              <w:t>Complete</w:t>
            </w:r>
          </w:p>
        </w:tc>
      </w:tr>
      <w:tr>
        <w:tc>
          <w:tcPr>
            <w:tcW w:type="dxa" w:w="2880"/>
          </w:tcPr>
          <w:p>
            <w:r>
              <w:t>Incident drill</w:t>
            </w:r>
          </w:p>
        </w:tc>
        <w:tc>
          <w:tcPr>
            <w:tcW w:type="dxa" w:w="2880"/>
          </w:tcPr>
          <w:p>
            <w:r>
              <w:t>Data Platform</w:t>
            </w:r>
          </w:p>
        </w:tc>
        <w:tc>
          <w:tcPr>
            <w:tcW w:type="dxa" w:w="2880"/>
          </w:tcPr>
          <w:p>
            <w:r>
              <w:t>Complete</w:t>
            </w:r>
          </w:p>
        </w:tc>
      </w:tr>
      <w:tr>
        <w:tc>
          <w:tcPr>
            <w:tcW w:type="dxa" w:w="2880"/>
          </w:tcPr>
          <w:p>
            <w:r>
              <w:t>Vendor check</w:t>
            </w:r>
          </w:p>
        </w:tc>
        <w:tc>
          <w:tcPr>
            <w:tcW w:type="dxa" w:w="2880"/>
          </w:tcPr>
          <w:p>
            <w:r>
              <w:t>Data Platform</w:t>
            </w:r>
          </w:p>
        </w:tc>
        <w:tc>
          <w:tcPr>
            <w:tcW w:type="dxa" w:w="2880"/>
          </w:tcPr>
          <w:p>
            <w:r>
              <w:t>Planned</w:t>
            </w:r>
          </w:p>
        </w:tc>
      </w:tr>
    </w:tbl>
    <w:p>
      <w:pPr>
        <w:pStyle w:val="Heading1"/>
      </w:pPr>
      <w:r>
        <w:t>Request and Response</w:t>
      </w:r>
    </w:p>
    <w:p>
      <w:r>
        <w:t>Evidence artifacts are retained in SAP for at least 12 months. Escalations should follow the on-call rotation with a response target of 60 minutes. All incidents are tagged with severity and mapped to service tiers. This document aligns with HIPAA requirements and supports US data residency expectations.</w:t>
      </w:r>
    </w:p>
    <w:p>
      <w:pPr>
        <w:pStyle w:val="ListBullet"/>
      </w:pPr>
      <w:r>
        <w:t>Evidence artifacts are retained in SAP for at least 12 months.</w:t>
      </w:r>
    </w:p>
    <w:p>
      <w:pPr>
        <w:pStyle w:val="ListBullet"/>
      </w:pPr>
      <w:r>
        <w:t>Teams must log requests in SAP and track outcomes in Ticketing Platform for audit readiness.</w:t>
      </w:r>
    </w:p>
    <w:p>
      <w:pPr>
        <w:pStyle w:val="ListBullet"/>
      </w:pPr>
      <w:r>
        <w:t>This document aligns with HIPAA requirements and supports US data residency expectations.</w:t>
      </w:r>
    </w:p>
    <w:p>
      <w:pPr>
        <w:pStyle w:val="ListBullet"/>
      </w:pPr>
      <w:r>
        <w:t>The process integrates with Ticketing Platform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Access review</w:t>
            </w:r>
          </w:p>
        </w:tc>
        <w:tc>
          <w:tcPr>
            <w:tcW w:type="dxa" w:w="2880"/>
          </w:tcPr>
          <w:p>
            <w:r>
              <w:t>Security</w:t>
            </w:r>
          </w:p>
        </w:tc>
        <w:tc>
          <w:tcPr>
            <w:tcW w:type="dxa" w:w="2880"/>
          </w:tcPr>
          <w:p>
            <w:r>
              <w:t>Complete</w:t>
            </w:r>
          </w:p>
        </w:tc>
      </w:tr>
      <w:tr>
        <w:tc>
          <w:tcPr>
            <w:tcW w:type="dxa" w:w="2880"/>
          </w:tcPr>
          <w:p>
            <w:r>
              <w:t>Patch window</w:t>
            </w:r>
          </w:p>
        </w:tc>
        <w:tc>
          <w:tcPr>
            <w:tcW w:type="dxa" w:w="2880"/>
          </w:tcPr>
          <w:p>
            <w:r>
              <w:t>Operations</w:t>
            </w:r>
          </w:p>
        </w:tc>
        <w:tc>
          <w:tcPr>
            <w:tcW w:type="dxa" w:w="2880"/>
          </w:tcPr>
          <w:p>
            <w:r>
              <w:t>Blocked</w:t>
            </w:r>
          </w:p>
        </w:tc>
      </w:tr>
    </w:tbl>
    <w:p>
      <w:pPr>
        <w:pStyle w:val="Heading1"/>
      </w:pPr>
      <w:r>
        <w:t>Error Handling</w:t>
      </w:r>
    </w:p>
    <w:p>
      <w:r>
        <w:t>All incidents are tagged with severity and mapped to service tiers. We prioritize customer impact, data integrity, and regulatory alignment.</w:t>
      </w:r>
    </w:p>
    <w:p>
      <w:pPr>
        <w:pStyle w:val="ListBullet"/>
      </w:pPr>
      <w:r>
        <w:t>The process integrates with Ticketing Platform and depends on ServiceNow for telemetry signals.</w:t>
      </w:r>
    </w:p>
    <w:p>
      <w:pPr>
        <w:pStyle w:val="ListBullet"/>
      </w:pPr>
      <w:r>
        <w:t>This document aligns with HIPAA requirements and supports US data residency expectations.</w:t>
      </w:r>
    </w:p>
    <w:p>
      <w:pPr>
        <w:pStyle w:val="ListBullet"/>
      </w:pPr>
      <w:r>
        <w:t>We prioritize customer impact, data integrity, and regulatory alignment.</w:t>
      </w:r>
    </w:p>
    <w:p>
      <w:pPr>
        <w:pStyle w:val="ListBullet"/>
      </w:pPr>
      <w:r>
        <w:t>The Data Platform team coordinates with Release Manager to maintain operational readiness.</w:t>
      </w:r>
    </w:p>
    <w:p>
      <w:pPr>
        <w:pStyle w:val="ListBullet"/>
      </w:pPr>
      <w:r>
        <w:t>Stakeholders include the Release Manager, service owner, and compliance lead for approvals.</w:t>
      </w:r>
    </w:p>
    <w:p>
      <w:pPr>
        <w:pStyle w:val="Heading1"/>
      </w:pPr>
      <w:r>
        <w:t>Rate Limits</w:t>
      </w:r>
    </w:p>
    <w:p>
      <w:r>
        <w:t>Risk acceptance must be documented and revalidated each quarter. All changes require peer review and validation in the Ticketing Platform before production promotion. The process integrates with Ticketing Platform and depends on ServiceNow for telemetry signals. This document aligns with HIPAA requirements and supports US data residency expectations.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All changes require peer review and validation in the Ticketing Platform before production promotion.</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Incident drill</w:t>
            </w:r>
          </w:p>
        </w:tc>
        <w:tc>
          <w:tcPr>
            <w:tcW w:type="dxa" w:w="2880"/>
          </w:tcPr>
          <w:p>
            <w:r>
              <w:t>Security</w:t>
            </w:r>
          </w:p>
        </w:tc>
        <w:tc>
          <w:tcPr>
            <w:tcW w:type="dxa" w:w="2880"/>
          </w:tcPr>
          <w:p>
            <w:r>
              <w:t>Complete</w:t>
            </w:r>
          </w:p>
        </w:tc>
      </w:tr>
      <w:tr>
        <w:tc>
          <w:tcPr>
            <w:tcW w:type="dxa" w:w="2880"/>
          </w:tcPr>
          <w:p>
            <w:r>
              <w:t>Patch window</w:t>
            </w:r>
          </w:p>
        </w:tc>
        <w:tc>
          <w:tcPr>
            <w:tcW w:type="dxa" w:w="2880"/>
          </w:tcPr>
          <w:p>
            <w:r>
              <w:t>Operations</w:t>
            </w:r>
          </w:p>
        </w:tc>
        <w:tc>
          <w:tcPr>
            <w:tcW w:type="dxa" w:w="2880"/>
          </w:tcPr>
          <w:p>
            <w:r>
              <w:t>Blocked</w:t>
            </w:r>
          </w:p>
        </w:tc>
      </w:tr>
      <w:tr>
        <w:tc>
          <w:tcPr>
            <w:tcW w:type="dxa" w:w="2880"/>
          </w:tcPr>
          <w:p>
            <w:r>
              <w:t>Patch window</w:t>
            </w:r>
          </w:p>
        </w:tc>
        <w:tc>
          <w:tcPr>
            <w:tcW w:type="dxa" w:w="2880"/>
          </w:tcPr>
          <w:p>
            <w:r>
              <w:t>Data Platform</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