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Engineering APAC v1.2</w:t>
      </w:r>
    </w:p>
    <w:p>
      <w:r>
        <w:t>Department: Engineering</w:t>
      </w:r>
    </w:p>
    <w:p>
      <w:r>
        <w:t>Author: Jordan Nguyen</w:t>
      </w:r>
    </w:p>
    <w:p>
      <w:r>
        <w:t>Created date: 2025-05-02</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Evidence artifacts are retained in Slack for at least 18 months. We prioritize customer impact, data integrity, and regulatory alignment. Systems are monitored via GCP and alert routing in Slack.</w:t>
      </w:r>
    </w:p>
    <w:p>
      <w:r>
        <w:t>This document aligns with SOC 2 requirements and supports APAC data residency expectations. Teams must log requests in Slack and track outcomes in Endpoint Management for audit readiness.</w:t>
      </w:r>
    </w:p>
    <w:p>
      <w:pPr>
        <w:pStyle w:val="ListBullet"/>
      </w:pPr>
      <w:r>
        <w:t>All incidents are tagged with severity and mapped to service tiers.</w:t>
      </w:r>
    </w:p>
    <w:p>
      <w:pPr>
        <w:pStyle w:val="ListBullet"/>
      </w:pPr>
      <w:r>
        <w:t>The Engineering organization uses GCP to enforce consistent service baselines.</w:t>
      </w:r>
    </w:p>
    <w:p>
      <w:pPr>
        <w:pStyle w:val="ListBullet"/>
      </w:pPr>
      <w:r>
        <w:t>The Engineering organization uses GCP to enforce consistent service baselines.</w:t>
      </w:r>
    </w:p>
    <w:p>
      <w:pPr>
        <w:pStyle w:val="ListBullet"/>
      </w:pPr>
      <w:r>
        <w:t>Escalations should follow the on-call rotation with a response target of 60 minutes.</w:t>
      </w:r>
    </w:p>
    <w:p>
      <w:pPr>
        <w:pStyle w:val="ListBullet"/>
      </w:pPr>
      <w:r>
        <w:t>Evidence artifacts are retained in Slack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 Analyst</w:t>
            </w:r>
          </w:p>
        </w:tc>
        <w:tc>
          <w:tcPr>
            <w:tcW w:type="dxa" w:w="2880"/>
          </w:tcPr>
          <w:p>
            <w:r>
              <w:t>Blocked</w:t>
            </w:r>
          </w:p>
        </w:tc>
      </w:tr>
      <w:tr>
        <w:tc>
          <w:tcPr>
            <w:tcW w:type="dxa" w:w="2880"/>
          </w:tcPr>
          <w:p>
            <w:r>
              <w:t>Vendor check</w:t>
            </w:r>
          </w:p>
        </w:tc>
        <w:tc>
          <w:tcPr>
            <w:tcW w:type="dxa" w:w="2880"/>
          </w:tcPr>
          <w:p>
            <w:r>
              <w:t>Engineering</w:t>
            </w:r>
          </w:p>
        </w:tc>
        <w:tc>
          <w:tcPr>
            <w:tcW w:type="dxa" w:w="2880"/>
          </w:tcPr>
          <w:p>
            <w:r>
              <w:t>Complete</w:t>
            </w:r>
          </w:p>
        </w:tc>
      </w:tr>
      <w:tr>
        <w:tc>
          <w:tcPr>
            <w:tcW w:type="dxa" w:w="2880"/>
          </w:tcPr>
          <w:p>
            <w:r>
              <w:t>Backup validation</w:t>
            </w:r>
          </w:p>
        </w:tc>
        <w:tc>
          <w:tcPr>
            <w:tcW w:type="dxa" w:w="2880"/>
          </w:tcPr>
          <w:p>
            <w:r>
              <w:t>Engineering</w:t>
            </w:r>
          </w:p>
        </w:tc>
        <w:tc>
          <w:tcPr>
            <w:tcW w:type="dxa" w:w="2880"/>
          </w:tcPr>
          <w:p>
            <w:r>
              <w:t>Planned</w:t>
            </w:r>
          </w:p>
        </w:tc>
      </w:tr>
      <w:tr>
        <w:tc>
          <w:tcPr>
            <w:tcW w:type="dxa" w:w="2880"/>
          </w:tcPr>
          <w:p>
            <w:r>
              <w:t>Backup validation</w:t>
            </w:r>
          </w:p>
        </w:tc>
        <w:tc>
          <w:tcPr>
            <w:tcW w:type="dxa" w:w="2880"/>
          </w:tcPr>
          <w:p>
            <w:r>
              <w:t>Engineering</w:t>
            </w:r>
          </w:p>
        </w:tc>
        <w:tc>
          <w:tcPr>
            <w:tcW w:type="dxa" w:w="2880"/>
          </w:tcPr>
          <w:p>
            <w:r>
              <w:t>In Progress</w:t>
            </w:r>
          </w:p>
        </w:tc>
      </w:tr>
    </w:tbl>
    <w:p>
      <w:pPr>
        <w:pStyle w:val="Heading1"/>
      </w:pPr>
      <w:r>
        <w:t>Endpoints</w:t>
      </w:r>
    </w:p>
    <w:p>
      <w:r>
        <w:t>The Engineering team coordinates with Security Analyst to maintain operational readiness. All changes require peer review and validation in the Endpoint Management before production promotion. All incidents are tagged with severity and mapped to service tiers. Risk acceptance must be documented and revalidated each quarter.</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This document aligns with SOC 2 requirements and supports APAC data residency expectations.</w:t>
      </w:r>
    </w:p>
    <w:p>
      <w:pPr>
        <w:pStyle w:val="ListBullet"/>
      </w:pPr>
      <w:r>
        <w:t>Regional teams in APAC follow the same policy with localized legal review.</w:t>
      </w:r>
    </w:p>
    <w:p>
      <w:pPr>
        <w:pStyle w:val="Heading1"/>
      </w:pPr>
      <w:r>
        <w:t>Request and Response</w:t>
      </w:r>
    </w:p>
    <w:p>
      <w:r>
        <w:t>Risk acceptance must be documented and revalidated each quarter. Teams must log requests in Slack and track outcomes in Endpoint Management for audit readiness. All incidents are tagged with severity and mapped to service tiers. Systems are monitored via GCP and alert routing in Slack.</w:t>
      </w:r>
    </w:p>
    <w:p>
      <w:r>
        <w:t>Risk acceptance must be documented and revalidated each quarter. This document aligns with SOC 2 requirements and supports APAC data residency expectations.</w:t>
      </w:r>
    </w:p>
    <w:p>
      <w:pPr>
        <w:pStyle w:val="ListBullet"/>
      </w:pPr>
      <w:r>
        <w:t>All changes require peer review and validation in the Endpoint Management before production promotion.</w:t>
      </w:r>
    </w:p>
    <w:p>
      <w:pPr>
        <w:pStyle w:val="ListBullet"/>
      </w:pPr>
      <w:r>
        <w:t>Systems are monitored via GCP and alert routing in Slack.</w:t>
      </w:r>
    </w:p>
    <w:p>
      <w:pPr>
        <w:pStyle w:val="ListBullet"/>
      </w:pPr>
      <w:r>
        <w:t>Stakeholders include the Security Analyst, service owner, and compliance lead for approvals.</w:t>
      </w:r>
    </w:p>
    <w:p>
      <w:pPr>
        <w:pStyle w:val="ListBullet"/>
      </w:pPr>
      <w:r>
        <w:t>Evidence artifacts are retained in Slack for at least 18 months.</w:t>
      </w:r>
    </w:p>
    <w:p>
      <w:pPr>
        <w:pStyle w:val="ListBullet"/>
      </w:pPr>
      <w:r>
        <w:t>All incidents are tagged with severity and mapped to service tiers.</w:t>
      </w:r>
    </w:p>
    <w:p>
      <w:pPr>
        <w:pStyle w:val="Heading1"/>
      </w:pPr>
      <w:r>
        <w:t>Error Handling</w:t>
      </w:r>
    </w:p>
    <w:p>
      <w:r>
        <w:t>We prioritize customer impact, data integrity, and regulatory alignment. The Engineering team coordinates with Security Analyst to maintain operational readiness. Stakeholders include the Security Analyst, service owner, and compliance lead for approvals. All incidents are tagged with severity and mapped to service tiers.</w:t>
      </w:r>
    </w:p>
    <w:p>
      <w:r>
        <w:t>Audit sampling occurs monthly and is summarized in leadership dashboards. Teams must log requests in Slack and track outcomes in Endpoint Management for audit readiness. Systems are monitored via GCP and alert routing in Slack. Stakeholders include the Security Analyst, service owner, and compliance lead for approvals.</w:t>
      </w:r>
    </w:p>
    <w:p>
      <w:pPr>
        <w:pStyle w:val="ListBullet"/>
      </w:pPr>
      <w:r>
        <w:t>All changes require peer review and validation in the Endpoint Management before production promotion.</w:t>
      </w:r>
    </w:p>
    <w:p>
      <w:pPr>
        <w:pStyle w:val="ListBullet"/>
      </w:pPr>
      <w:r>
        <w:t>Teams must log requests in Slack and track outcomes in Endpoint Management for audit readiness.</w:t>
      </w:r>
    </w:p>
    <w:p>
      <w:pPr>
        <w:pStyle w:val="ListBullet"/>
      </w:pPr>
      <w:r>
        <w:t>The Engineering organization uses GCP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Engineering</w:t>
            </w:r>
          </w:p>
        </w:tc>
        <w:tc>
          <w:tcPr>
            <w:tcW w:type="dxa" w:w="2880"/>
          </w:tcPr>
          <w:p>
            <w:r>
              <w:t>Complete</w:t>
            </w:r>
          </w:p>
        </w:tc>
      </w:tr>
      <w:tr>
        <w:tc>
          <w:tcPr>
            <w:tcW w:type="dxa" w:w="2880"/>
          </w:tcPr>
          <w:p>
            <w:r>
              <w:t>Vendor check</w:t>
            </w:r>
          </w:p>
        </w:tc>
        <w:tc>
          <w:tcPr>
            <w:tcW w:type="dxa" w:w="2880"/>
          </w:tcPr>
          <w:p>
            <w:r>
              <w:t>Security</w:t>
            </w:r>
          </w:p>
        </w:tc>
        <w:tc>
          <w:tcPr>
            <w:tcW w:type="dxa" w:w="2880"/>
          </w:tcPr>
          <w:p>
            <w:r>
              <w:t>Planned</w:t>
            </w:r>
          </w:p>
        </w:tc>
      </w:tr>
      <w:tr>
        <w:tc>
          <w:tcPr>
            <w:tcW w:type="dxa" w:w="2880"/>
          </w:tcPr>
          <w:p>
            <w:r>
              <w:t>Vendor check</w:t>
            </w:r>
          </w:p>
        </w:tc>
        <w:tc>
          <w:tcPr>
            <w:tcW w:type="dxa" w:w="2880"/>
          </w:tcPr>
          <w:p>
            <w:r>
              <w:t>Security</w:t>
            </w:r>
          </w:p>
        </w:tc>
        <w:tc>
          <w:tcPr>
            <w:tcW w:type="dxa" w:w="2880"/>
          </w:tcPr>
          <w:p>
            <w:r>
              <w:t>Planned</w:t>
            </w:r>
          </w:p>
        </w:tc>
      </w:tr>
      <w:tr>
        <w:tc>
          <w:tcPr>
            <w:tcW w:type="dxa" w:w="2880"/>
          </w:tcPr>
          <w:p>
            <w:r>
              <w:t>Vendor check</w:t>
            </w:r>
          </w:p>
        </w:tc>
        <w:tc>
          <w:tcPr>
            <w:tcW w:type="dxa" w:w="2880"/>
          </w:tcPr>
          <w:p>
            <w:r>
              <w:t>Operations</w:t>
            </w:r>
          </w:p>
        </w:tc>
        <w:tc>
          <w:tcPr>
            <w:tcW w:type="dxa" w:w="2880"/>
          </w:tcPr>
          <w:p>
            <w:r>
              <w:t>In Progress</w:t>
            </w:r>
          </w:p>
        </w:tc>
      </w:tr>
    </w:tbl>
    <w:p>
      <w:pPr>
        <w:pStyle w:val="Heading1"/>
      </w:pPr>
      <w:r>
        <w:t>Rate Limits</w:t>
      </w:r>
    </w:p>
    <w:p>
      <w:r>
        <w:t>Evidence artifacts are retained in Slack for at least 18 months. The process integrates with Endpoint Management and depends on GCP for telemetry signals. The process integrates with Endpoint Management and depends on GCP for telemetry signals.</w:t>
      </w:r>
    </w:p>
    <w:p>
      <w:r>
        <w:t>Audit sampling occurs monthly and is summarized in leadership dashboards. We prioritize customer impact, data integrity, and regulatory alignment. Evidence artifacts are retained in Slack for at least 18 months.</w:t>
      </w:r>
    </w:p>
    <w:p>
      <w:pPr>
        <w:pStyle w:val="ListBullet"/>
      </w:pPr>
      <w:r>
        <w:t>Evidence artifacts are retained in Slack for at least 18 months.</w:t>
      </w:r>
    </w:p>
    <w:p>
      <w:pPr>
        <w:pStyle w:val="ListBullet"/>
      </w:pPr>
      <w:r>
        <w:t>This document aligns with SOC 2 requirements and supports APAC data residency expectations.</w:t>
      </w:r>
    </w:p>
    <w:p>
      <w:pPr>
        <w:pStyle w:val="ListBullet"/>
      </w:pPr>
      <w:r>
        <w:t>The Engineering organization uses GCP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