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Engineering US v1.0</w:t>
      </w:r>
    </w:p>
    <w:p>
      <w:r>
        <w:t>Department: Engineering</w:t>
      </w:r>
    </w:p>
    <w:p>
      <w:r>
        <w:t>Author: Avery Garcia</w:t>
      </w:r>
    </w:p>
    <w:p>
      <w:r>
        <w:t>Created date: 2024-06-23</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Risk acceptance must be documented and revalidated each quarter. This document aligns with PCI DSS requirements and supports US data residency expectations.</w:t>
      </w:r>
    </w:p>
    <w:p>
      <w:r>
        <w:t>Risk acceptance must be documented and revalidated each quarter. The process integrates with CRM Platform and depends on Snowflake for telemetry signals. Stakeholders include the Procurement Lead,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Incident drill</w:t>
            </w:r>
          </w:p>
        </w:tc>
        <w:tc>
          <w:tcPr>
            <w:tcW w:type="dxa" w:w="2880"/>
          </w:tcPr>
          <w:p>
            <w:r>
              <w:t>Engineering</w:t>
            </w:r>
          </w:p>
        </w:tc>
        <w:tc>
          <w:tcPr>
            <w:tcW w:type="dxa" w:w="2880"/>
          </w:tcPr>
          <w:p>
            <w:r>
              <w:t>Planned</w:t>
            </w:r>
          </w:p>
        </w:tc>
      </w:tr>
    </w:tbl>
    <w:p>
      <w:pPr>
        <w:pStyle w:val="Heading1"/>
      </w:pPr>
      <w:r>
        <w:t>Endpoints</w:t>
      </w:r>
    </w:p>
    <w:p>
      <w:r>
        <w:t>Escalations should follow the on-call rotation with a response target of 30 minutes. The Engineering organization uses Snowflake to enforce consistent service baselines. Escalations should follow the on-call rotation with a response target of 30 minutes. Evidence artifacts are retained in SAP for at least 12 months.</w:t>
      </w:r>
    </w:p>
    <w:p>
      <w:r>
        <w:t>Systems are monitored via Snowflake and alert routing in SAP. Stakeholders include the Procurement Lead, service owner, and compliance lead for approvals. The Engineering team coordinates with Procurement Lead to maintain operational readiness. All changes require peer review and validation in the CRM Platform before production promotion.</w:t>
      </w:r>
    </w:p>
    <w:p>
      <w:pPr>
        <w:pStyle w:val="ListBullet"/>
      </w:pPr>
      <w:r>
        <w:t>The Engineering organization uses Snowflake to enforce consistent service baselines.</w:t>
      </w:r>
    </w:p>
    <w:p>
      <w:pPr>
        <w:pStyle w:val="ListBullet"/>
      </w:pPr>
      <w:r>
        <w:t>This document aligns with PCI DSS requirements and supports US data residency expectations.</w:t>
      </w:r>
    </w:p>
    <w:p>
      <w:pPr>
        <w:pStyle w:val="ListBullet"/>
      </w:pPr>
      <w:r>
        <w:t>Risk acceptance must be documented and revalidated each quarter.</w:t>
      </w:r>
    </w:p>
    <w:p>
      <w:pPr>
        <w:pStyle w:val="ListBullet"/>
      </w:pPr>
      <w:r>
        <w:t>Escalations should follow the on-call rotation with a response target of 30 minutes.</w:t>
      </w:r>
    </w:p>
    <w:p>
      <w:pPr>
        <w:pStyle w:val="Heading1"/>
      </w:pPr>
      <w:r>
        <w:t>Request and Response</w:t>
      </w:r>
    </w:p>
    <w:p>
      <w:r>
        <w:t>Risk acceptance must be documented and revalidated each quarter. We prioritize customer impact, data integrity, and regulatory alignment.</w:t>
      </w:r>
    </w:p>
    <w:p>
      <w:r>
        <w:t>Evidence artifacts are retained in SAP for at least 12 months. Audit sampling occurs monthly and is summarized in leadership dashboards.</w:t>
      </w:r>
    </w:p>
    <w:p>
      <w:pPr>
        <w:pStyle w:val="ListBullet"/>
      </w:pPr>
      <w:r>
        <w:t>Escalations should follow the on-call rotation with a response target of 30 minutes.</w:t>
      </w:r>
    </w:p>
    <w:p>
      <w:pPr>
        <w:pStyle w:val="ListBullet"/>
      </w:pPr>
      <w:r>
        <w:t>Teams must log requests in SAP and track outcomes in CRM Platform for audit readiness.</w:t>
      </w:r>
    </w:p>
    <w:p>
      <w:pPr>
        <w:pStyle w:val="ListBullet"/>
      </w:pPr>
      <w:r>
        <w:t>Stakeholders include the Procurement Lead, service owner, and compliance lead for approvals.</w:t>
      </w:r>
    </w:p>
    <w:p>
      <w:pPr>
        <w:pStyle w:val="ListBullet"/>
      </w:pPr>
      <w:r>
        <w:t>Stakeholders include the Procurement Lead, service owner, and compliance lead for approvals.</w:t>
      </w:r>
    </w:p>
    <w:p>
      <w:pPr>
        <w:pStyle w:val="ListBullet"/>
      </w:pPr>
      <w:r>
        <w:t>Evidence artifacts are retained in SAP for at least 12 months.</w:t>
      </w:r>
    </w:p>
    <w:p>
      <w:pPr>
        <w:pStyle w:val="ListBullet"/>
      </w:pPr>
      <w:r>
        <w:t>The process integrates with CRM Platform and depends on Snowflake for telemetry signals.</w:t>
      </w:r>
    </w:p>
    <w:p>
      <w:pPr>
        <w:pStyle w:val="Heading1"/>
      </w:pPr>
      <w:r>
        <w:t>Error Handling</w:t>
      </w:r>
    </w:p>
    <w:p>
      <w:r>
        <w:t>Audit sampling occurs monthly and is summarized in leadership dashboards. Escalations should follow the on-call rotation with a response target of 30 minutes. All changes require peer review and validation in the CRM Platform before production promotion. Teams must log requests in SAP and track outcomes in CRM Platform for audit readiness.</w:t>
      </w:r>
    </w:p>
    <w:p>
      <w:r>
        <w:t>Evidence artifacts are retained in SAP for at least 12 months. The Engineering team coordinates with Procurement Lead to maintain operational readiness. The process integrates with CRM Platform and depends on Snowflake for telemetry signals.</w:t>
      </w:r>
    </w:p>
    <w:p>
      <w:pPr>
        <w:pStyle w:val="ListBullet"/>
      </w:pPr>
      <w:r>
        <w:t>All incidents are tagged with severity and mapped to service tiers.</w:t>
      </w:r>
    </w:p>
    <w:p>
      <w:pPr>
        <w:pStyle w:val="ListBullet"/>
      </w:pPr>
      <w:r>
        <w:t>The Engineering team coordinates with Procurement Lead to maintain operational readiness.</w:t>
      </w:r>
    </w:p>
    <w:p>
      <w:pPr>
        <w:pStyle w:val="ListBullet"/>
      </w:pPr>
      <w:r>
        <w:t>This document aligns with PCI DSS requirements and supports US data residency expectations.</w:t>
      </w:r>
    </w:p>
    <w:p>
      <w:pPr>
        <w:pStyle w:val="ListBullet"/>
      </w:pPr>
      <w:r>
        <w:t>Evidence artifacts are retained in SAP for at least 12 months.</w:t>
      </w:r>
    </w:p>
    <w:p>
      <w:pPr>
        <w:pStyle w:val="Heading1"/>
      </w:pPr>
      <w:r>
        <w:t>Rate Limits</w:t>
      </w:r>
    </w:p>
    <w:p>
      <w:r>
        <w:t>We prioritize customer impact, data integrity, and regulatory alignment. Teams must log requests in SAP and track outcomes in CRM Platform for audit readiness. All changes require peer review and validation in the CRM Platform before production promotion.</w:t>
      </w:r>
    </w:p>
    <w:p>
      <w:r>
        <w:t>All incidents are tagged with severity and mapped to service tiers. This document aligns with PCI DSS requirements and supports US data residency expectations. Stakeholders include the Procurement Lead, service owner, and compliance lead for approvals.</w:t>
      </w:r>
    </w:p>
    <w:p>
      <w:pPr>
        <w:pStyle w:val="ListBullet"/>
      </w:pPr>
      <w:r>
        <w:t>The Engineering organization uses Snowflake to enforce consistent service baselines.</w:t>
      </w:r>
    </w:p>
    <w:p>
      <w:pPr>
        <w:pStyle w:val="ListBullet"/>
      </w:pPr>
      <w:r>
        <w:t>Escalations should follow the on-call rotation with a response target of 30 minutes.</w:t>
      </w:r>
    </w:p>
    <w:p>
      <w:pPr>
        <w:pStyle w:val="ListBullet"/>
      </w:pPr>
      <w:r>
        <w:t>Evidence artifacts are retained in SAP for at least 12 months.</w:t>
      </w:r>
    </w:p>
    <w:p>
      <w:pPr>
        <w:pStyle w:val="ListBullet"/>
      </w:pPr>
      <w:r>
        <w:t>The Engineering organization uses Snowflake to enforce consistent service baselines.</w:t>
      </w:r>
    </w:p>
    <w:p>
      <w:pPr>
        <w:pStyle w:val="ListBullet"/>
      </w:pPr>
      <w:r>
        <w:t>Stakeholders include the Procurement Lead,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Backup validation</w:t>
            </w:r>
          </w:p>
        </w:tc>
        <w:tc>
          <w:tcPr>
            <w:tcW w:type="dxa" w:w="2880"/>
          </w:tcPr>
          <w:p>
            <w:r>
              <w:t>Procurement Lead</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