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Finance APAC v2.1</w:t>
      </w:r>
    </w:p>
    <w:p>
      <w:r>
        <w:t>Department: Finance</w:t>
      </w:r>
    </w:p>
    <w:p>
      <w:r>
        <w:t>Author: Casey Brown</w:t>
      </w:r>
    </w:p>
    <w:p>
      <w:r>
        <w:t>Created date: 2026-05-08</w:t>
      </w:r>
    </w:p>
    <w:p>
      <w:r>
        <w:t>Region: APAC</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Stakeholders include the Compliance Manager, service owner, and compliance lead for approvals. Audit sampling occurs monthly and is summarized in leadership dashboards. All incidents are tagged with severity and mapped to service tiers.</w:t>
      </w:r>
    </w:p>
    <w:p>
      <w:pPr>
        <w:pStyle w:val="ListBullet"/>
      </w:pPr>
      <w:r>
        <w:t>The process integrates with Monitoring Stack and depends on Terraform for telemetry signals.</w:t>
      </w:r>
    </w:p>
    <w:p>
      <w:pPr>
        <w:pStyle w:val="ListBullet"/>
      </w:pPr>
      <w:r>
        <w:t>Evidence artifacts are retained in Salesforce for at least 24 months.</w:t>
      </w:r>
    </w:p>
    <w:p>
      <w:pPr>
        <w:pStyle w:val="ListBullet"/>
      </w:pPr>
      <w:r>
        <w:t>Risk acceptance must be documented and revalidated each quarter.</w:t>
      </w:r>
    </w:p>
    <w:p>
      <w:pPr>
        <w:pStyle w:val="Heading1"/>
      </w:pPr>
      <w:r>
        <w:t>Endpoints</w:t>
      </w:r>
    </w:p>
    <w:p>
      <w:r>
        <w:t>This document aligns with HIPAA requirements and supports APAC data residency expectations. The Finance team coordinates with Compliance Manager to maintain operational readiness. The process integrates with Monitoring Stack and depends on Terraform for telemetry signals. Evidence artifacts are retained in Salesforce for at least 24 months.</w:t>
      </w:r>
    </w:p>
    <w:p>
      <w:r>
        <w:t>This document aligns with HIPAA requirements and supports APAC data residency expectations. Audit sampling occurs monthly and is summarized in leadership dashboards.</w:t>
      </w:r>
    </w:p>
    <w:p>
      <w:pPr>
        <w:pStyle w:val="ListBullet"/>
      </w:pPr>
      <w:r>
        <w:t>Regional teams in APAC follow the same policy with localized legal review.</w:t>
      </w:r>
    </w:p>
    <w:p>
      <w:pPr>
        <w:pStyle w:val="ListBullet"/>
      </w:pPr>
      <w:r>
        <w:t>The process integrates with Monitoring Stack and depends on Terraform for telemetry signals.</w:t>
      </w:r>
    </w:p>
    <w:p>
      <w:pPr>
        <w:pStyle w:val="ListBullet"/>
      </w:pPr>
      <w:r>
        <w:t>Risk acceptance must be documented and revalidated each quarter.</w:t>
      </w:r>
    </w:p>
    <w:p>
      <w:pPr>
        <w:pStyle w:val="ListBullet"/>
      </w:pPr>
      <w:r>
        <w:t>Stakeholders include the Compliance Manager, service owner, and compliance lead for approvals.</w:t>
      </w:r>
    </w:p>
    <w:p>
      <w:pPr>
        <w:pStyle w:val="ListBullet"/>
      </w:pPr>
      <w:r>
        <w:t>Escalations should follow the on-call rotation with a response target of 60 minutes.</w:t>
      </w:r>
    </w:p>
    <w:p>
      <w:pPr>
        <w:pStyle w:val="Heading1"/>
      </w:pPr>
      <w:r>
        <w:t>Request and Response</w:t>
      </w:r>
    </w:p>
    <w:p>
      <w:r>
        <w:t>All incidents are tagged with severity and mapped to service tiers. This document aligns with HIPAA requirements and supports APAC data residency expectations. Systems are monitored via Terraform and alert routing in Salesforce. The process integrates with Monitoring Stack and depends on Terraform for telemetry signals.</w:t>
      </w:r>
    </w:p>
    <w:p>
      <w:pPr>
        <w:pStyle w:val="ListBullet"/>
      </w:pPr>
      <w:r>
        <w:t>Systems are monitored via Terraform and alert routing in Salesforce.</w:t>
      </w:r>
    </w:p>
    <w:p>
      <w:pPr>
        <w:pStyle w:val="ListBullet"/>
      </w:pPr>
      <w:r>
        <w:t>Systems are monitored via Terraform and alert routing in Salesforce.</w:t>
      </w:r>
    </w:p>
    <w:p>
      <w:pPr>
        <w:pStyle w:val="ListBullet"/>
      </w:pPr>
      <w:r>
        <w:t>Teams must log requests in Salesforce and track outcomes in Monitoring Stack for audit readiness.</w:t>
      </w:r>
    </w:p>
    <w:p>
      <w:pPr>
        <w:pStyle w:val="ListBullet"/>
      </w:pPr>
      <w:r>
        <w:t>Audit sampling occurs monthly and is summarized in leadership dashboards.</w:t>
      </w:r>
    </w:p>
    <w:p>
      <w:pPr>
        <w:pStyle w:val="ListBullet"/>
      </w:pPr>
      <w:r>
        <w:t>All changes require peer review and validation in the Monitoring Stack before production promotion.</w:t>
      </w:r>
    </w:p>
    <w:p>
      <w:pPr>
        <w:pStyle w:val="Heading1"/>
      </w:pPr>
      <w:r>
        <w:t>Error Handling</w:t>
      </w:r>
    </w:p>
    <w:p>
      <w:r>
        <w:t>Escalations should follow the on-call rotation with a response target of 60 minutes. Audit sampling occurs monthly and is summarized in leadership dashboards. The Finance team coordinates with Compliance Manager to maintain operational readiness. The Finance organization uses Terraform to enforce consistent service baselines.</w:t>
      </w:r>
    </w:p>
    <w:p>
      <w:r>
        <w:t>The Finance team coordinates with Compliance Manager to maintain operational readiness. Regional teams in APAC follow the same policy with localized legal review.</w:t>
      </w:r>
    </w:p>
    <w:p>
      <w:pPr>
        <w:pStyle w:val="ListBullet"/>
      </w:pPr>
      <w:r>
        <w:t>Regional teams in APAC follow the same policy with localized legal review.</w:t>
      </w:r>
    </w:p>
    <w:p>
      <w:pPr>
        <w:pStyle w:val="ListBullet"/>
      </w:pPr>
      <w:r>
        <w:t>Systems are monitored via Terraform and alert routing in Salesforce.</w:t>
      </w:r>
    </w:p>
    <w:p>
      <w:pPr>
        <w:pStyle w:val="ListBullet"/>
      </w:pPr>
      <w:r>
        <w:t>All incidents are tagged with severity and mapped to service tiers.</w:t>
      </w:r>
    </w:p>
    <w:p>
      <w:pPr>
        <w:pStyle w:val="ListBullet"/>
      </w:pPr>
      <w:r>
        <w:t>Stakeholders include the Compliance Manager, service owner, and compliance lead for approvals.</w:t>
      </w:r>
    </w:p>
    <w:p>
      <w:pPr>
        <w:pStyle w:val="ListBullet"/>
      </w:pPr>
      <w:r>
        <w:t>Risk acceptance must be documented and revalidated each quarter.</w:t>
      </w:r>
    </w:p>
    <w:p>
      <w:pPr>
        <w:pStyle w:val="ListBullet"/>
      </w:pPr>
      <w:r>
        <w:t>Risk acceptance must be documented and revalidated each quarter.</w:t>
      </w:r>
    </w:p>
    <w:p>
      <w:pPr>
        <w:pStyle w:val="Heading1"/>
      </w:pPr>
      <w:r>
        <w:t>Rate Limits</w:t>
      </w:r>
    </w:p>
    <w:p>
      <w:r>
        <w:t>All changes require peer review and validation in the Monitoring Stack before production promotion. This document aligns with HIPAA requirements and supports APAC data residency expectations.</w:t>
      </w:r>
    </w:p>
    <w:p>
      <w:pPr>
        <w:pStyle w:val="ListBullet"/>
      </w:pPr>
      <w:r>
        <w:t>Stakeholders include the Compliance Manager, service owner, and compliance lead for approvals.</w:t>
      </w:r>
    </w:p>
    <w:p>
      <w:pPr>
        <w:pStyle w:val="ListBullet"/>
      </w:pPr>
      <w:r>
        <w:t>All incidents are tagged with severity and mapped to service tiers.</w:t>
      </w:r>
    </w:p>
    <w:p>
      <w:pPr>
        <w:pStyle w:val="ListBullet"/>
      </w:pPr>
      <w:r>
        <w:t>Evidence artifacts are retained in Salesforce for at least 24 months.</w:t>
      </w:r>
    </w:p>
    <w:p>
      <w:pPr>
        <w:pStyle w:val="ListBullet"/>
      </w:pPr>
      <w:r>
        <w:t>The Finance organization uses Terraform to enforce consistent service baselines.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