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Finance EU v2.1</w:t>
      </w:r>
    </w:p>
    <w:p>
      <w:r>
        <w:t>Department: Finance</w:t>
      </w:r>
    </w:p>
    <w:p>
      <w:r>
        <w:t>Author: Alex Garcia</w:t>
      </w:r>
    </w:p>
    <w:p>
      <w:r>
        <w:t>Created date: 2025-01-19</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Evidence artifacts are retained in Microsoft 365 for at least 18 months. Escalations should follow the on-call rotation with a response target of 30 minutes.</w:t>
      </w:r>
    </w:p>
    <w:p>
      <w:r>
        <w:t>All changes require peer review and validation in the Customer Data Lake before production promotion. The Finance organization uses AWS to enforce consistent service baselines.</w:t>
      </w:r>
    </w:p>
    <w:p>
      <w:pPr>
        <w:pStyle w:val="ListBullet"/>
      </w:pPr>
      <w:r>
        <w:t>Teams must log requests in Microsoft 365 and track outcomes in Customer Data Lake for audit readiness.</w:t>
      </w:r>
    </w:p>
    <w:p>
      <w:pPr>
        <w:pStyle w:val="ListBullet"/>
      </w:pPr>
      <w:r>
        <w:t>Teams must log requests in Microsoft 365 and track outcomes in Customer Data Lake for audit readiness.</w:t>
      </w:r>
    </w:p>
    <w:p>
      <w:pPr>
        <w:pStyle w:val="ListBullet"/>
      </w:pPr>
      <w:r>
        <w:t>Stakeholders include the Platform Engineer, service owner, and compliance lead for approvals.</w:t>
      </w:r>
    </w:p>
    <w:p>
      <w:pPr>
        <w:pStyle w:val="ListBullet"/>
      </w:pPr>
      <w:r>
        <w:t>Escalations should follow the on-call rotation with a response target of 30 minutes.</w:t>
      </w:r>
    </w:p>
    <w:p>
      <w:pPr>
        <w:pStyle w:val="ListBullet"/>
      </w:pPr>
      <w:r>
        <w:t>Audit sampling occurs monthly and is summarized in leadership dashboards.</w:t>
      </w:r>
    </w:p>
    <w:p>
      <w:pPr>
        <w:pStyle w:val="Heading1"/>
      </w:pPr>
      <w:r>
        <w:t>Endpoints</w:t>
      </w:r>
    </w:p>
    <w:p>
      <w:r>
        <w:t>The Finance organization uses AWS to enforce consistent service baselines. Risk acceptance must be documented and revalidated each quarter. Regional teams in EU follow the same policy with localized legal review.</w:t>
      </w:r>
    </w:p>
    <w:p>
      <w:pPr>
        <w:pStyle w:val="ListBullet"/>
      </w:pPr>
      <w:r>
        <w:t>Risk acceptance must be documented and revalidated each quarter.</w:t>
      </w:r>
    </w:p>
    <w:p>
      <w:pPr>
        <w:pStyle w:val="ListBullet"/>
      </w:pPr>
      <w:r>
        <w:t>Systems are monitored via AWS and alert routing in Microsoft 365.</w:t>
      </w:r>
    </w:p>
    <w:p>
      <w:pPr>
        <w:pStyle w:val="ListBullet"/>
      </w:pPr>
      <w:r>
        <w:t>All incidents are tagged with severity and mapped to service tiers.</w:t>
      </w:r>
    </w:p>
    <w:p>
      <w:pPr>
        <w:pStyle w:val="ListBullet"/>
      </w:pPr>
      <w:r>
        <w:t>Stakeholders include the Platform Engineer, service owner, and compliance lead for approvals.</w:t>
      </w:r>
    </w:p>
    <w:p>
      <w:pPr>
        <w:pStyle w:val="Heading1"/>
      </w:pPr>
      <w:r>
        <w:t>Request and Response</w:t>
      </w:r>
    </w:p>
    <w:p>
      <w:r>
        <w:t>Stakeholders include the Platform Engineer, service owner, and compliance lead for approvals. This document aligns with GDPR requirements and supports EU data residency expectations.</w:t>
      </w:r>
    </w:p>
    <w:p>
      <w:r>
        <w:t>The process integrates with Customer Data Lake and depends on AWS for telemetry signals. The process integrates with Customer Data Lake and depends on AWS for telemetry signals. The Finance team coordinates with Platform Engineer to maintain operational readiness.</w:t>
      </w:r>
    </w:p>
    <w:p>
      <w:pPr>
        <w:pStyle w:val="ListBullet"/>
      </w:pPr>
      <w:r>
        <w:t>Teams must log requests in Microsoft 365 and track outcomes in Customer Data Lake for audit readiness.</w:t>
      </w:r>
    </w:p>
    <w:p>
      <w:pPr>
        <w:pStyle w:val="ListBullet"/>
      </w:pPr>
      <w:r>
        <w:t>We prioritize customer impact, data integrity, and regulatory alignment.</w:t>
      </w:r>
    </w:p>
    <w:p>
      <w:pPr>
        <w:pStyle w:val="ListBullet"/>
      </w:pPr>
      <w:r>
        <w:t>All changes require peer review and validation in the Customer Data Lake before production promotion.</w:t>
      </w:r>
    </w:p>
    <w:p>
      <w:pPr>
        <w:pStyle w:val="ListBullet"/>
      </w:pPr>
      <w:r>
        <w:t>Systems are monitored via AWS and alert routing in Microsoft 365.</w:t>
      </w:r>
    </w:p>
    <w:p>
      <w:pPr>
        <w:pStyle w:val="ListBullet"/>
      </w:pPr>
      <w:r>
        <w:t>Evidence artifacts are retained in Microsoft 365 for at least 18 months.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w:t>
            </w:r>
          </w:p>
        </w:tc>
        <w:tc>
          <w:tcPr>
            <w:tcW w:type="dxa" w:w="2880"/>
          </w:tcPr>
          <w:p>
            <w:r>
              <w:t>Blocked</w:t>
            </w:r>
          </w:p>
        </w:tc>
      </w:tr>
      <w:tr>
        <w:tc>
          <w:tcPr>
            <w:tcW w:type="dxa" w:w="2880"/>
          </w:tcPr>
          <w:p>
            <w:r>
              <w:t>Backup validation</w:t>
            </w:r>
          </w:p>
        </w:tc>
        <w:tc>
          <w:tcPr>
            <w:tcW w:type="dxa" w:w="2880"/>
          </w:tcPr>
          <w:p>
            <w:r>
              <w:t>Platform Engineer</w:t>
            </w:r>
          </w:p>
        </w:tc>
        <w:tc>
          <w:tcPr>
            <w:tcW w:type="dxa" w:w="2880"/>
          </w:tcPr>
          <w:p>
            <w:r>
              <w:t>Complete</w:t>
            </w:r>
          </w:p>
        </w:tc>
      </w:tr>
      <w:tr>
        <w:tc>
          <w:tcPr>
            <w:tcW w:type="dxa" w:w="2880"/>
          </w:tcPr>
          <w:p>
            <w:r>
              <w:t>Incident drill</w:t>
            </w:r>
          </w:p>
        </w:tc>
        <w:tc>
          <w:tcPr>
            <w:tcW w:type="dxa" w:w="2880"/>
          </w:tcPr>
          <w:p>
            <w:r>
              <w:t>Operations</w:t>
            </w:r>
          </w:p>
        </w:tc>
        <w:tc>
          <w:tcPr>
            <w:tcW w:type="dxa" w:w="2880"/>
          </w:tcPr>
          <w:p>
            <w:r>
              <w:t>Complete</w:t>
            </w:r>
          </w:p>
        </w:tc>
      </w:tr>
    </w:tbl>
    <w:p>
      <w:pPr>
        <w:pStyle w:val="Heading1"/>
      </w:pPr>
      <w:r>
        <w:t>Error Handling</w:t>
      </w:r>
    </w:p>
    <w:p>
      <w:r>
        <w:t>Audit sampling occurs monthly and is summarized in leadership dashboards. This document aligns with GDPR requirements and supports EU data residency expectations. Evidence artifacts are retained in Microsoft 365 for at least 18 months. Regional teams in EU follow the same policy with localized legal review.</w:t>
      </w:r>
    </w:p>
    <w:p>
      <w:r>
        <w:t>Stakeholders include the Platform Engineer, service owner, and compliance lead for approvals. Escalations should follow the on-call rotation with a response target of 30 minutes. Audit sampling occurs monthly and is summarized in leadership dashboards. This document aligns with GDPR requirements and supports EU data residency expectations.</w:t>
      </w:r>
    </w:p>
    <w:p>
      <w:pPr>
        <w:pStyle w:val="ListBullet"/>
      </w:pPr>
      <w:r>
        <w:t>We prioritize customer impact, data integrity, and regulatory alignment.</w:t>
      </w:r>
    </w:p>
    <w:p>
      <w:pPr>
        <w:pStyle w:val="ListBullet"/>
      </w:pPr>
      <w:r>
        <w:t>Evidence artifacts are retained in Microsoft 365 for at least 18 months.</w:t>
      </w:r>
    </w:p>
    <w:p>
      <w:pPr>
        <w:pStyle w:val="ListBullet"/>
      </w:pPr>
      <w:r>
        <w:t>Systems are monitored via AWS and alert routing in Microsoft 365.</w:t>
      </w:r>
    </w:p>
    <w:p>
      <w:pPr>
        <w:pStyle w:val="Heading1"/>
      </w:pPr>
      <w:r>
        <w:t>Rate Limits</w:t>
      </w:r>
    </w:p>
    <w:p>
      <w:r>
        <w:t>Evidence artifacts are retained in Microsoft 365 for at least 18 months. The Finance team coordinates with Platform Engineer to maintain operational readiness.</w:t>
      </w:r>
    </w:p>
    <w:p>
      <w:pPr>
        <w:pStyle w:val="ListBullet"/>
      </w:pPr>
      <w:r>
        <w:t>The process integrates with Customer Data Lake and depends on AWS for telemetry signals.</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Stakeholders include the Platform Engineer, service owner, and compliance lead for approvals.</w:t>
      </w:r>
    </w:p>
    <w:p>
      <w:pPr>
        <w:pStyle w:val="ListBullet"/>
      </w:pPr>
      <w:r>
        <w:t>Audit sampling occurs monthly and is summarized in leadership dashboards.</w:t>
      </w:r>
    </w:p>
    <w:p>
      <w:pPr>
        <w:pStyle w:val="ListBullet"/>
      </w:pPr>
      <w:r>
        <w:t>Teams must log requests in Microsoft 365 and track outcomes in Customer Data Lake for audit readiness.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