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Human Resources US v1.0</w:t>
      </w:r>
    </w:p>
    <w:p>
      <w:r>
        <w:t>Department: Human Resources</w:t>
      </w:r>
    </w:p>
    <w:p>
      <w:r>
        <w:t>Author: Riley Lee</w:t>
      </w:r>
    </w:p>
    <w:p>
      <w:r>
        <w:t>Created date: 2025-01-03</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Audit sampling occurs monthly and is summarized in leadership dashboards. Evidence artifacts are retained in Workday for at least 18 months. We prioritize customer impact, data integrity, and regulatory alignment.</w:t>
      </w:r>
    </w:p>
    <w:p>
      <w:r>
        <w:t>This document aligns with SOX requirements and supports US data residency expectations. This document aligns with SOX requirements and supports US data residency expectations. Audit sampling occurs monthly and is summarized in leadership dashboards. Teams must log requests in Workday and track outcomes in Customer Data Lake for audit readiness.</w:t>
      </w:r>
    </w:p>
    <w:p>
      <w:pPr>
        <w:pStyle w:val="ListBullet"/>
      </w:pPr>
      <w:r>
        <w:t>The process integrates with Customer Data Lake and depends on Snowflake for telemetry signals.</w:t>
      </w:r>
    </w:p>
    <w:p>
      <w:pPr>
        <w:pStyle w:val="ListBullet"/>
      </w:pPr>
      <w:r>
        <w:t>Audit sampling occurs monthly and is summarized in leadership dashboards.</w:t>
      </w:r>
    </w:p>
    <w:p>
      <w:pPr>
        <w:pStyle w:val="ListBullet"/>
      </w:pPr>
      <w:r>
        <w:t>Systems are monitored via Snowflake and alert routing in Workday.</w:t>
      </w:r>
    </w:p>
    <w:p>
      <w:pPr>
        <w:pStyle w:val="Heading1"/>
      </w:pPr>
      <w:r>
        <w:t>Endpoints</w:t>
      </w:r>
    </w:p>
    <w:p>
      <w:r>
        <w:t>Evidence artifacts are retained in Workday for at least 18 months. Regional teams in US follow the same policy with localized legal review. All changes require peer review and validation in the Customer Data Lake before production promotion. Regional teams in US follow the same policy with localized legal review.</w:t>
      </w:r>
    </w:p>
    <w:p>
      <w:r>
        <w:t>Systems are monitored via Snowflake and alert routing in Workday. Regional teams in US follow the same policy with localized legal review. The Human Resources organization uses Snowflake to enforce consistent service baselines.</w:t>
      </w:r>
    </w:p>
    <w:p>
      <w:pPr>
        <w:pStyle w:val="ListBullet"/>
      </w:pPr>
      <w:r>
        <w:t>Risk acceptance must be documented and revalidated each quarter.</w:t>
      </w:r>
    </w:p>
    <w:p>
      <w:pPr>
        <w:pStyle w:val="ListBullet"/>
      </w:pPr>
      <w:r>
        <w:t>Escalations should follow the on-call rotation with a response target of 45 minutes.</w:t>
      </w:r>
    </w:p>
    <w:p>
      <w:pPr>
        <w:pStyle w:val="ListBullet"/>
      </w:pPr>
      <w:r>
        <w:t>The Human Resources organization uses Snowflake to enforce consistent service baselines.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This document aligns with SOX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 Lead</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bl>
    <w:p>
      <w:pPr>
        <w:pStyle w:val="Heading1"/>
      </w:pPr>
      <w:r>
        <w:t>Request and Response</w:t>
      </w:r>
    </w:p>
    <w:p>
      <w:r>
        <w:t>Escalations should follow the on-call rotation with a response target of 45 minutes. Evidence artifacts are retained in Workday for at least 18 months.</w:t>
      </w:r>
    </w:p>
    <w:p>
      <w:r>
        <w:t>Teams must log requests in Workday and track outcomes in Customer Data Lake for audit readiness. Stakeholders include the Procurement Lead, service owner, and compliance lead for approvals.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The process integrates with Customer Data Lake and depends on Snowflake for telemetry signals.</w:t>
      </w:r>
    </w:p>
    <w:p>
      <w:pPr>
        <w:pStyle w:val="ListBullet"/>
      </w:pPr>
      <w:r>
        <w:t>Escalations should follow the on-call rotation with a response target of 45 minutes.</w:t>
      </w:r>
    </w:p>
    <w:p>
      <w:pPr>
        <w:pStyle w:val="ListBullet"/>
      </w:pPr>
      <w:r>
        <w:t>Regional teams in US follow the same policy with localized legal review.</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Procurement Lead</w:t>
            </w:r>
          </w:p>
        </w:tc>
        <w:tc>
          <w:tcPr>
            <w:tcW w:type="dxa" w:w="2880"/>
          </w:tcPr>
          <w:p>
            <w:r>
              <w:t>Blocked</w:t>
            </w:r>
          </w:p>
        </w:tc>
      </w:tr>
      <w:tr>
        <w:tc>
          <w:tcPr>
            <w:tcW w:type="dxa" w:w="2880"/>
          </w:tcPr>
          <w:p>
            <w:r>
              <w:t>Backup validation</w:t>
            </w:r>
          </w:p>
        </w:tc>
        <w:tc>
          <w:tcPr>
            <w:tcW w:type="dxa" w:w="2880"/>
          </w:tcPr>
          <w:p>
            <w:r>
              <w:t>Human Resources</w:t>
            </w:r>
          </w:p>
        </w:tc>
        <w:tc>
          <w:tcPr>
            <w:tcW w:type="dxa" w:w="2880"/>
          </w:tcPr>
          <w:p>
            <w:r>
              <w:t>Complete</w:t>
            </w:r>
          </w:p>
        </w:tc>
      </w:tr>
    </w:tbl>
    <w:p>
      <w:pPr>
        <w:pStyle w:val="Heading1"/>
      </w:pPr>
      <w:r>
        <w:t>Error Handling</w:t>
      </w:r>
    </w:p>
    <w:p>
      <w:r>
        <w:t>The process integrates with Customer Data Lake and depends on Snowflake for telemetry signals. We prioritize customer impact, data integrity, and regulatory alignment. Audit sampling occurs monthly and is summarized in leadership dashboards. All incidents are tagged with severity and mapped to service tiers.</w:t>
      </w:r>
    </w:p>
    <w:p>
      <w:r>
        <w:t>The process integrates with Customer Data Lake and depends on Snowflake for telemetry signals. Audit sampling occurs monthly and is summarized in leadership dashboards. We prioritize customer impact, data integrity, and regulatory alignment.</w:t>
      </w:r>
    </w:p>
    <w:p>
      <w:pPr>
        <w:pStyle w:val="ListBullet"/>
      </w:pPr>
      <w:r>
        <w:t>Regional teams in US follow the same policy with localized legal review.</w:t>
      </w:r>
    </w:p>
    <w:p>
      <w:pPr>
        <w:pStyle w:val="ListBullet"/>
      </w:pPr>
      <w:r>
        <w:t>Escalations should follow the on-call rotation with a response target of 45 minutes.</w:t>
      </w:r>
    </w:p>
    <w:p>
      <w:pPr>
        <w:pStyle w:val="ListBullet"/>
      </w:pPr>
      <w:r>
        <w:t>All changes require peer review and validation in the Customer Data Lake before production promotion.</w:t>
      </w:r>
    </w:p>
    <w:p>
      <w:pPr>
        <w:pStyle w:val="ListBullet"/>
      </w:pPr>
      <w:r>
        <w:t>Stakeholders include the Procurement Lead, service owner, and compliance lead for approvals.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Incident drill</w:t>
            </w:r>
          </w:p>
        </w:tc>
        <w:tc>
          <w:tcPr>
            <w:tcW w:type="dxa" w:w="2880"/>
          </w:tcPr>
          <w:p>
            <w:r>
              <w:t>Human Resources</w:t>
            </w:r>
          </w:p>
        </w:tc>
        <w:tc>
          <w:tcPr>
            <w:tcW w:type="dxa" w:w="2880"/>
          </w:tcPr>
          <w:p>
            <w:r>
              <w:t>Complete</w:t>
            </w:r>
          </w:p>
        </w:tc>
      </w:tr>
      <w:tr>
        <w:tc>
          <w:tcPr>
            <w:tcW w:type="dxa" w:w="2880"/>
          </w:tcPr>
          <w:p>
            <w:r>
              <w:t>Incident drill</w:t>
            </w:r>
          </w:p>
        </w:tc>
        <w:tc>
          <w:tcPr>
            <w:tcW w:type="dxa" w:w="2880"/>
          </w:tcPr>
          <w:p>
            <w:r>
              <w:t>Operations</w:t>
            </w:r>
          </w:p>
        </w:tc>
        <w:tc>
          <w:tcPr>
            <w:tcW w:type="dxa" w:w="2880"/>
          </w:tcPr>
          <w:p>
            <w:r>
              <w:t>Planned</w:t>
            </w:r>
          </w:p>
        </w:tc>
      </w:tr>
    </w:tbl>
    <w:p>
      <w:pPr>
        <w:pStyle w:val="Heading1"/>
      </w:pPr>
      <w:r>
        <w:t>Rate Limits</w:t>
      </w:r>
    </w:p>
    <w:p>
      <w:r>
        <w:t>Teams must log requests in Workday and track outcomes in Customer Data Lake for audit readiness. Risk acceptance must be documented and revalidated each quarter. The process integrates with Customer Data Lake and depends on Snowflake for telemetry signals.</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Systems are monitored via Snowflake and alert routing in Workday.</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Human Resources</w:t>
            </w:r>
          </w:p>
        </w:tc>
        <w:tc>
          <w:tcPr>
            <w:tcW w:type="dxa" w:w="2880"/>
          </w:tcPr>
          <w:p>
            <w:r>
              <w:t>Blocked</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Incident drill</w:t>
            </w:r>
          </w:p>
        </w:tc>
        <w:tc>
          <w:tcPr>
            <w:tcW w:type="dxa" w:w="2880"/>
          </w:tcPr>
          <w:p>
            <w:r>
              <w:t>Security</w:t>
            </w:r>
          </w:p>
        </w:tc>
        <w:tc>
          <w:tcPr>
            <w:tcW w:type="dxa" w:w="2880"/>
          </w:tcPr>
          <w:p>
            <w:r>
              <w:t>Complete</w:t>
            </w:r>
          </w:p>
        </w:tc>
      </w:tr>
      <w:tr>
        <w:tc>
          <w:tcPr>
            <w:tcW w:type="dxa" w:w="2880"/>
          </w:tcPr>
          <w:p>
            <w:r>
              <w:t>Vendor check</w:t>
            </w:r>
          </w:p>
        </w:tc>
        <w:tc>
          <w:tcPr>
            <w:tcW w:type="dxa" w:w="2880"/>
          </w:tcPr>
          <w:p>
            <w:r>
              <w:t>Operations</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