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Legal APAC v2.0</w:t>
      </w:r>
    </w:p>
    <w:p>
      <w:r>
        <w:t>Department: Legal</w:t>
      </w:r>
    </w:p>
    <w:p>
      <w:r>
        <w:t>Author: Avery Patel</w:t>
      </w:r>
    </w:p>
    <w:p>
      <w:r>
        <w:t>Created date: 2026-05-18</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Audit sampling occurs monthly and is summarized in leadership dashboards. Evidence artifacts are retained in Jira for at least 24 months. Regional teams in APAC follow the same policy with localized legal review.</w:t>
      </w:r>
    </w:p>
    <w:p>
      <w:r>
        <w:t>The Legal organization uses Datadog to enforce consistent service baselines. Escalations should follow the on-call rotation with a response target of 30 minutes. Escalations should follow the on-call rotation with a response target of 30 minutes. Escalations should follow the on-call rotation with a response target of 30 minutes.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Heading1"/>
      </w:pPr>
      <w:r>
        <w:t>Endpoints</w:t>
      </w:r>
    </w:p>
    <w:p>
      <w:r>
        <w:t>All changes require peer review and validation in the Payment Processing Service before production promotion. Systems are monitored via Datadog and alert routing in Jira.</w:t>
      </w:r>
    </w:p>
    <w:p>
      <w:r>
        <w:t>Audit sampling occurs monthly and is summarized in leadership dashboards. Escalations should follow the on-call rotation with a response target of 30 minutes. Systems are monitored via Datadog and alert routing in Jira. The process integrates with Payment Processing Service and depends on Datadog for telemetry signals.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This document aligns with SOC 2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Legal</w:t>
            </w:r>
          </w:p>
        </w:tc>
        <w:tc>
          <w:tcPr>
            <w:tcW w:type="dxa" w:w="2880"/>
          </w:tcPr>
          <w:p>
            <w:r>
              <w:t>Complete</w:t>
            </w:r>
          </w:p>
        </w:tc>
      </w:tr>
      <w:tr>
        <w:tc>
          <w:tcPr>
            <w:tcW w:type="dxa" w:w="2880"/>
          </w:tcPr>
          <w:p>
            <w:r>
              <w:t>Incident drill</w:t>
            </w:r>
          </w:p>
        </w:tc>
        <w:tc>
          <w:tcPr>
            <w:tcW w:type="dxa" w:w="2880"/>
          </w:tcPr>
          <w:p>
            <w:r>
              <w:t>Product Manager</w:t>
            </w:r>
          </w:p>
        </w:tc>
        <w:tc>
          <w:tcPr>
            <w:tcW w:type="dxa" w:w="2880"/>
          </w:tcPr>
          <w:p>
            <w:r>
              <w:t>In Progress</w:t>
            </w:r>
          </w:p>
        </w:tc>
      </w:tr>
    </w:tbl>
    <w:p>
      <w:pPr>
        <w:pStyle w:val="Heading1"/>
      </w:pPr>
      <w:r>
        <w:t>Request and Response</w:t>
      </w:r>
    </w:p>
    <w:p>
      <w:r>
        <w:t>Risk acceptance must be documented and revalidated each quarter. We prioritize customer impact, data integrity, and regulatory alignment.</w:t>
      </w:r>
    </w:p>
    <w:p>
      <w:pPr>
        <w:pStyle w:val="ListBullet"/>
      </w:pPr>
      <w:r>
        <w:t>All changes require peer review and validation in the Payment Processing Service before production promotion.</w:t>
      </w:r>
    </w:p>
    <w:p>
      <w:pPr>
        <w:pStyle w:val="ListBullet"/>
      </w:pPr>
      <w:r>
        <w:t>The Legal team coordinates with Product Manager to maintain operational readiness.</w:t>
      </w:r>
    </w:p>
    <w:p>
      <w:pPr>
        <w:pStyle w:val="ListBullet"/>
      </w:pPr>
      <w:r>
        <w:t>All changes require peer review and validation in the Payment Processing Service before production promotion.</w:t>
      </w:r>
    </w:p>
    <w:p>
      <w:pPr>
        <w:pStyle w:val="ListBullet"/>
      </w:pPr>
      <w:r>
        <w:t>The Legal team coordinates with Product Manager to maintain operational readiness.</w:t>
      </w:r>
    </w:p>
    <w:p>
      <w:pPr>
        <w:pStyle w:val="ListBullet"/>
      </w:pPr>
      <w:r>
        <w:t>All changes require peer review and validation in the Payment Processing Service before production promotion.</w:t>
      </w:r>
    </w:p>
    <w:p>
      <w:pPr>
        <w:pStyle w:val="Heading1"/>
      </w:pPr>
      <w:r>
        <w:t>Error Handling</w:t>
      </w:r>
    </w:p>
    <w:p>
      <w:r>
        <w:t>Escalations should follow the on-call rotation with a response target of 30 minutes. This document aligns with SOC 2 requirements and supports APAC data residency expectations.</w:t>
      </w:r>
    </w:p>
    <w:p>
      <w:r>
        <w:t>Regional teams in APAC follow the same policy with localized legal review. All changes require peer review and validation in the Payment Processing Service before production promotion.</w:t>
      </w:r>
    </w:p>
    <w:p>
      <w:pPr>
        <w:pStyle w:val="ListBullet"/>
      </w:pPr>
      <w:r>
        <w:t>Teams must log requests in Jira and track outcomes in Payment Processing Service for audit readiness.</w:t>
      </w:r>
    </w:p>
    <w:p>
      <w:pPr>
        <w:pStyle w:val="ListBullet"/>
      </w:pPr>
      <w:r>
        <w:t>Systems are monitored via Datadog and alert routing in Jira.</w:t>
      </w:r>
    </w:p>
    <w:p>
      <w:pPr>
        <w:pStyle w:val="ListBullet"/>
      </w:pPr>
      <w:r>
        <w:t>Systems are monitored via Datadog and alert routing in Jira.</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Heading1"/>
      </w:pPr>
      <w:r>
        <w:t>Rate Limits</w:t>
      </w:r>
    </w:p>
    <w:p>
      <w:r>
        <w:t>Risk acceptance must be documented and revalidated each quarter. The process integrates with Payment Processing Service and depends on Datadog for telemetry signals.</w:t>
      </w:r>
    </w:p>
    <w:p>
      <w:pPr>
        <w:pStyle w:val="ListBullet"/>
      </w:pPr>
      <w:r>
        <w:t>All incidents are tagged with severity and mapped to service tiers.</w:t>
      </w:r>
    </w:p>
    <w:p>
      <w:pPr>
        <w:pStyle w:val="ListBullet"/>
      </w:pPr>
      <w:r>
        <w:t>This document aligns with SOC 2 requirements and supports APAC data residency expectations.</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