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Legal APAC v2.0</w:t>
      </w:r>
    </w:p>
    <w:p>
      <w:r>
        <w:t>Department: Legal</w:t>
      </w:r>
    </w:p>
    <w:p>
      <w:r>
        <w:t>Author: Riley Lee</w:t>
      </w:r>
    </w:p>
    <w:p>
      <w:r>
        <w:t>Created date: 2024-07-27</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Escalations should follow the on-call rotation with a response target of 60 minutes. The Legal organization uses Azure AD to enforce consistent service baselines. The Legal organization uses Azure AD to enforce consistent service baselines.</w:t>
      </w:r>
    </w:p>
    <w:p>
      <w:r>
        <w:t>The process integrates with CRM Platform and depends on Azure AD for telemetry signals. Audit sampling occurs monthly and is summarized in leadership dashboards. The process integrates with CRM Platform and depends on Azure AD for telemetry signals.</w:t>
      </w:r>
    </w:p>
    <w:p>
      <w:pPr>
        <w:pStyle w:val="ListBullet"/>
      </w:pPr>
      <w:r>
        <w:t>The Legal team coordinates with Support Specialist to maintain operational readiness.</w:t>
      </w:r>
    </w:p>
    <w:p>
      <w:pPr>
        <w:pStyle w:val="ListBullet"/>
      </w:pPr>
      <w:r>
        <w:t>Audit sampling occurs monthly and is summarized in leadership dashboards.</w:t>
      </w:r>
    </w:p>
    <w:p>
      <w:pPr>
        <w:pStyle w:val="ListBullet"/>
      </w:pPr>
      <w:r>
        <w:t>Teams must log requests in Google Workspace and track outcomes in CRM Platform for audit readiness.</w:t>
      </w:r>
    </w:p>
    <w:p>
      <w:pPr>
        <w:pStyle w:val="ListBullet"/>
      </w:pPr>
      <w:r>
        <w:t>The process integrates with CRM Platform and depends on Azure AD for telemetry signals.</w:t>
      </w:r>
    </w:p>
    <w:p>
      <w:pPr>
        <w:pStyle w:val="ListBullet"/>
      </w:pPr>
      <w:r>
        <w:t>Evidence artifacts are retained in Google Workspace for at least 24 months.</w:t>
      </w:r>
    </w:p>
    <w:p>
      <w:pPr>
        <w:pStyle w:val="Heading1"/>
      </w:pPr>
      <w:r>
        <w:t>Endpoints</w:t>
      </w:r>
    </w:p>
    <w:p>
      <w:r>
        <w:t>Risk acceptance must be documented and revalidated each quarter. All incidents are tagged with severity and mapped to service tiers. Escalations should follow the on-call rotation with a response target of 60 minutes. The process integrates with CRM Platform and depends on Azure AD for telemetry signals.</w:t>
      </w:r>
    </w:p>
    <w:p>
      <w:r>
        <w:t>Escalations should follow the on-call rotation with a response target of 60 minutes. This document aligns with SOX requirements and supports APAC data residency expectations. All changes require peer review and validation in the CRM Platform before production promotion.</w:t>
      </w:r>
    </w:p>
    <w:p>
      <w:pPr>
        <w:pStyle w:val="ListBullet"/>
      </w:pPr>
      <w:r>
        <w:t>All changes require peer review and validation in the CRM Platform before production promotion.</w:t>
      </w:r>
    </w:p>
    <w:p>
      <w:pPr>
        <w:pStyle w:val="ListBullet"/>
      </w:pPr>
      <w:r>
        <w:t>Evidence artifacts are retained in Google Workspace for at least 24 months.</w:t>
      </w:r>
    </w:p>
    <w:p>
      <w:pPr>
        <w:pStyle w:val="ListBullet"/>
      </w:pPr>
      <w:r>
        <w:t>The Legal organization uses Azure AD to enforce consistent service baselines.</w:t>
      </w:r>
    </w:p>
    <w:p>
      <w:pPr>
        <w:pStyle w:val="ListBullet"/>
      </w:pPr>
      <w:r>
        <w:t>Escalations should follow the on-call rotation with a response target of 60 minutes.</w:t>
      </w:r>
    </w:p>
    <w:p>
      <w:pPr>
        <w:pStyle w:val="ListBullet"/>
      </w:pPr>
      <w:r>
        <w:t>Regional teams in APAC follow the same policy with localized legal review.</w:t>
      </w:r>
    </w:p>
    <w:p>
      <w:pPr>
        <w:pStyle w:val="ListBullet"/>
      </w:pPr>
      <w:r>
        <w:t>Risk acceptance must be documented and revalidated each quarter.</w:t>
      </w:r>
    </w:p>
    <w:p>
      <w:pPr>
        <w:pStyle w:val="Heading1"/>
      </w:pPr>
      <w:r>
        <w:t>Request and Response</w:t>
      </w:r>
    </w:p>
    <w:p>
      <w:r>
        <w:t>Teams must log requests in Google Workspace and track outcomes in CRM Platform for audit readiness. Regional teams in APAC follow the same policy with localized legal review. This document aligns with SOX requirements and supports APAC data residency expectations.</w:t>
      </w:r>
    </w:p>
    <w:p>
      <w:pPr>
        <w:pStyle w:val="ListBullet"/>
      </w:pPr>
      <w:r>
        <w:t>Evidence artifacts are retained in Google Workspace for at least 24 months.</w:t>
      </w:r>
    </w:p>
    <w:p>
      <w:pPr>
        <w:pStyle w:val="ListBullet"/>
      </w:pPr>
      <w:r>
        <w:t>Regional teams in APAC follow the same policy with localized legal review.</w:t>
      </w:r>
    </w:p>
    <w:p>
      <w:pPr>
        <w:pStyle w:val="ListBullet"/>
      </w:pPr>
      <w:r>
        <w:t>The Legal organization uses Azure AD to enforce consistent service baselines.</w:t>
      </w:r>
    </w:p>
    <w:p>
      <w:pPr>
        <w:pStyle w:val="ListBullet"/>
      </w:pPr>
      <w:r>
        <w:t>Teams must log requests in Google Workspace and track outcomes in CRM Platform for audit readiness.</w:t>
      </w:r>
    </w:p>
    <w:p>
      <w:pPr>
        <w:pStyle w:val="Heading1"/>
      </w:pPr>
      <w:r>
        <w:t>Error Handling</w:t>
      </w:r>
    </w:p>
    <w:p>
      <w:r>
        <w:t>Stakeholders include the Support Specialist, service owner, and compliance lead for approvals. We prioritize customer impact, data integrity, and regulatory alignment. Stakeholders include the Support Specialist, service owner, and compliance lead for approvals. All incidents are tagged with severity and mapped to service tiers.</w:t>
      </w:r>
    </w:p>
    <w:p>
      <w:pPr>
        <w:pStyle w:val="ListBullet"/>
      </w:pPr>
      <w:r>
        <w:t>Stakeholders include the Support Specialist, service owner, and compliance lead for approvals.</w:t>
      </w:r>
    </w:p>
    <w:p>
      <w:pPr>
        <w:pStyle w:val="ListBullet"/>
      </w:pPr>
      <w:r>
        <w:t>Risk acceptance must be documented and revalidated each quarter.</w:t>
      </w:r>
    </w:p>
    <w:p>
      <w:pPr>
        <w:pStyle w:val="ListBullet"/>
      </w:pPr>
      <w:r>
        <w:t>The process integrates with CRM Platform and depends on Azure AD for telemetry signals.</w:t>
      </w:r>
    </w:p>
    <w:p>
      <w:pPr>
        <w:pStyle w:val="Heading1"/>
      </w:pPr>
      <w:r>
        <w:t>Rate Limits</w:t>
      </w:r>
    </w:p>
    <w:p>
      <w:r>
        <w:t>Risk acceptance must be documented and revalidated each quarter. The Legal team coordinates with Support Specialist to maintain operational readiness. Escalations should follow the on-call rotation with a response target of 60 minutes. All changes require peer review and validation in the CRM Platform before production promotion.</w:t>
      </w:r>
    </w:p>
    <w:p>
      <w:r>
        <w:t>The Legal team coordinates with Support Specialist to maintain operational readiness. This document aligns with SOX requirements and supports APAC data residency expectations. Stakeholders include the Support Specialist, service owner, and compliance lead for approvals.</w:t>
      </w:r>
    </w:p>
    <w:p>
      <w:pPr>
        <w:pStyle w:val="ListBullet"/>
      </w:pPr>
      <w:r>
        <w:t>Risk acceptance must be documented and revalidated each quarter.</w:t>
      </w:r>
    </w:p>
    <w:p>
      <w:pPr>
        <w:pStyle w:val="ListBullet"/>
      </w:pPr>
      <w:r>
        <w:t>Risk acceptance must be documented and revalidated each quarter.</w:t>
      </w:r>
    </w:p>
    <w:p>
      <w:pPr>
        <w:pStyle w:val="ListBullet"/>
      </w:pPr>
      <w:r>
        <w:t>Regional teams in APAC follow the same policy with localized legal review.</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