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Legal APAC v1.0</w:t>
      </w:r>
    </w:p>
    <w:p>
      <w:r>
        <w:t>Department: Legal</w:t>
      </w:r>
    </w:p>
    <w:p>
      <w:r>
        <w:t>Author: Morgan Patel</w:t>
      </w:r>
    </w:p>
    <w:p>
      <w:r>
        <w:t>Created date: 2025-01-20</w:t>
      </w:r>
    </w:p>
    <w:p>
      <w:r>
        <w:t>Region: APAC</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The Legal team coordinates with Product Manager to maintain operational readiness. All changes require peer review and validation in the ERP System before production promotion.</w:t>
      </w:r>
    </w:p>
    <w:p>
      <w:pPr>
        <w:pStyle w:val="ListBullet"/>
      </w:pPr>
      <w:r>
        <w:t>We prioritize customer impact, data integrity, and regulatory alignment.</w:t>
      </w:r>
    </w:p>
    <w:p>
      <w:pPr>
        <w:pStyle w:val="ListBullet"/>
      </w:pPr>
      <w:r>
        <w:t>All changes require peer review and validation in the ERP System before production promotion.</w:t>
      </w:r>
    </w:p>
    <w:p>
      <w:pPr>
        <w:pStyle w:val="ListBullet"/>
      </w:pPr>
      <w:r>
        <w:t>The Legal team coordinates with Product Manager to maintain operational readiness.</w:t>
      </w:r>
    </w:p>
    <w:p>
      <w:pPr>
        <w:pStyle w:val="ListBullet"/>
      </w:pPr>
      <w:r>
        <w:t>All changes require peer review and validation in the ERP System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Planned</w:t>
            </w:r>
          </w:p>
        </w:tc>
      </w:tr>
      <w:tr>
        <w:tc>
          <w:tcPr>
            <w:tcW w:type="dxa" w:w="2880"/>
          </w:tcPr>
          <w:p>
            <w:r>
              <w:t>Patch window</w:t>
            </w:r>
          </w:p>
        </w:tc>
        <w:tc>
          <w:tcPr>
            <w:tcW w:type="dxa" w:w="2880"/>
          </w:tcPr>
          <w:p>
            <w:r>
              <w:t>Operations</w:t>
            </w:r>
          </w:p>
        </w:tc>
        <w:tc>
          <w:tcPr>
            <w:tcW w:type="dxa" w:w="2880"/>
          </w:tcPr>
          <w:p>
            <w:r>
              <w:t>In Progress</w:t>
            </w:r>
          </w:p>
        </w:tc>
      </w:tr>
      <w:tr>
        <w:tc>
          <w:tcPr>
            <w:tcW w:type="dxa" w:w="2880"/>
          </w:tcPr>
          <w:p>
            <w:r>
              <w:t>Patch window</w:t>
            </w:r>
          </w:p>
        </w:tc>
        <w:tc>
          <w:tcPr>
            <w:tcW w:type="dxa" w:w="2880"/>
          </w:tcPr>
          <w:p>
            <w:r>
              <w:t>Legal</w:t>
            </w:r>
          </w:p>
        </w:tc>
        <w:tc>
          <w:tcPr>
            <w:tcW w:type="dxa" w:w="2880"/>
          </w:tcPr>
          <w:p>
            <w:r>
              <w:t>Complete</w:t>
            </w:r>
          </w:p>
        </w:tc>
      </w:tr>
    </w:tbl>
    <w:p>
      <w:pPr>
        <w:pStyle w:val="Heading1"/>
      </w:pPr>
      <w:r>
        <w:t>Endpoints</w:t>
      </w:r>
    </w:p>
    <w:p>
      <w:r>
        <w:t>Regional teams in APAC follow the same policy with localized legal review. Escalations should follow the on-call rotation with a response target of 45 minutes. The Legal organization uses AWS to enforce consistent service baselines.</w:t>
      </w:r>
    </w:p>
    <w:p>
      <w:r>
        <w:t>Teams must log requests in Jira and track outcomes in ERP System for audit readiness. The Legal team coordinates with Product Manager to maintain operational readiness. We prioritize customer impact, data integrity, and regulatory alignment. Stakeholders include the Product Manager, service owner, and compliance lead for approvals.</w:t>
      </w:r>
    </w:p>
    <w:p>
      <w:pPr>
        <w:pStyle w:val="ListBullet"/>
      </w:pPr>
      <w:r>
        <w:t>All incidents are tagged with severity and mapped to service tiers.</w:t>
      </w:r>
    </w:p>
    <w:p>
      <w:pPr>
        <w:pStyle w:val="ListBullet"/>
      </w:pPr>
      <w:r>
        <w:t>Escalations should follow the on-call rotation with a response target of 45 minutes.</w:t>
      </w:r>
    </w:p>
    <w:p>
      <w:pPr>
        <w:pStyle w:val="ListBullet"/>
      </w:pPr>
      <w:r>
        <w:t>Stakeholders include the Product Manager, service owner, and compliance lead for approvals.</w:t>
      </w:r>
    </w:p>
    <w:p>
      <w:pPr>
        <w:pStyle w:val="ListBullet"/>
      </w:pPr>
      <w:r>
        <w:t>Systems are monitored via AWS and alert routing in Jira.</w:t>
      </w:r>
    </w:p>
    <w:p>
      <w:pPr>
        <w:pStyle w:val="ListBullet"/>
      </w:pPr>
      <w:r>
        <w:t>Teams must log requests in Jira and track outcomes in ERP System for audit readiness.</w:t>
      </w:r>
    </w:p>
    <w:p>
      <w:pPr>
        <w:pStyle w:val="ListBullet"/>
      </w:pPr>
      <w:r>
        <w:t>The Legal team coordinates with Product Manager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Product Manager</w:t>
            </w:r>
          </w:p>
        </w:tc>
        <w:tc>
          <w:tcPr>
            <w:tcW w:type="dxa" w:w="2880"/>
          </w:tcPr>
          <w:p>
            <w:r>
              <w:t>In Progress</w:t>
            </w:r>
          </w:p>
        </w:tc>
      </w:tr>
      <w:tr>
        <w:tc>
          <w:tcPr>
            <w:tcW w:type="dxa" w:w="2880"/>
          </w:tcPr>
          <w:p>
            <w:r>
              <w:t>Access review</w:t>
            </w:r>
          </w:p>
        </w:tc>
        <w:tc>
          <w:tcPr>
            <w:tcW w:type="dxa" w:w="2880"/>
          </w:tcPr>
          <w:p>
            <w:r>
              <w:t>Legal</w:t>
            </w:r>
          </w:p>
        </w:tc>
        <w:tc>
          <w:tcPr>
            <w:tcW w:type="dxa" w:w="2880"/>
          </w:tcPr>
          <w:p>
            <w:r>
              <w:t>Blocked</w:t>
            </w:r>
          </w:p>
        </w:tc>
      </w:tr>
    </w:tbl>
    <w:p>
      <w:pPr>
        <w:pStyle w:val="Heading1"/>
      </w:pPr>
      <w:r>
        <w:t>Request and Response</w:t>
      </w:r>
    </w:p>
    <w:p>
      <w:r>
        <w:t>The process integrates with ERP System and depends on AWS for telemetry signals. The Legal organization uses AWS to enforce consistent service baselines.</w:t>
      </w:r>
    </w:p>
    <w:p>
      <w:r>
        <w:t>The process integrates with ERP System and depends on AWS for telemetry signals. Regional teams in APAC follow the same policy with localized legal review.</w:t>
      </w:r>
    </w:p>
    <w:p>
      <w:pPr>
        <w:pStyle w:val="ListBullet"/>
      </w:pPr>
      <w:r>
        <w:t>The Legal team coordinates with Product Manager to maintain operational readiness.</w:t>
      </w:r>
    </w:p>
    <w:p>
      <w:pPr>
        <w:pStyle w:val="ListBullet"/>
      </w:pPr>
      <w:r>
        <w:t>The Legal organization uses AWS to enforce consistent service baselines.</w:t>
      </w:r>
    </w:p>
    <w:p>
      <w:pPr>
        <w:pStyle w:val="ListBullet"/>
      </w:pPr>
      <w:r>
        <w:t>Teams must log requests in Jira and track outcomes in ERP System for audit readiness.</w:t>
      </w:r>
    </w:p>
    <w:p>
      <w:pPr>
        <w:pStyle w:val="Heading1"/>
      </w:pPr>
      <w:r>
        <w:t>Error Handling</w:t>
      </w:r>
    </w:p>
    <w:p>
      <w:r>
        <w:t>The process integrates with ERP System and depends on AWS for telemetry signals. All changes require peer review and validation in the ERP System before production promotion.</w:t>
      </w:r>
    </w:p>
    <w:p>
      <w:pPr>
        <w:pStyle w:val="ListBullet"/>
      </w:pPr>
      <w:r>
        <w:t>The Legal organization uses AWS to enforce consistent service baselines.</w:t>
      </w:r>
    </w:p>
    <w:p>
      <w:pPr>
        <w:pStyle w:val="ListBullet"/>
      </w:pPr>
      <w:r>
        <w:t>Evidence artifacts are retained in Jira for at least 24 months.</w:t>
      </w:r>
    </w:p>
    <w:p>
      <w:pPr>
        <w:pStyle w:val="ListBullet"/>
      </w:pPr>
      <w:r>
        <w:t>All incidents are tagged with severity and mapped to service tiers.</w:t>
      </w:r>
    </w:p>
    <w:p>
      <w:pPr>
        <w:pStyle w:val="Heading1"/>
      </w:pPr>
      <w:r>
        <w:t>Rate Limits</w:t>
      </w:r>
    </w:p>
    <w:p>
      <w:r>
        <w:t>This document aligns with SOC 2 requirements and supports APAC data residency expectations. Escalations should follow the on-call rotation with a response target of 45 minutes. Audit sampling occurs monthly and is summarized in leadership dashboards. The Legal team coordinates with Product Manager to maintain operational readiness.</w:t>
      </w:r>
    </w:p>
    <w:p>
      <w:r>
        <w:t>Escalations should follow the on-call rotation with a response target of 45 minutes. Stakeholders include the Product Manager, service owner, and compliance lead for approvals. All incidents are tagged with severity and mapped to service tiers. Escalations should follow the on-call rotation with a response target of 45 minutes.</w:t>
      </w:r>
    </w:p>
    <w:p>
      <w:pPr>
        <w:pStyle w:val="ListBullet"/>
      </w:pPr>
      <w:r>
        <w:t>Escalations should follow the on-call rotation with a response target of 45 minutes.</w:t>
      </w:r>
    </w:p>
    <w:p>
      <w:pPr>
        <w:pStyle w:val="ListBullet"/>
      </w:pPr>
      <w:r>
        <w:t>Stakeholders include the Product Manager, service owner, and compliance lead for approvals.</w:t>
      </w:r>
    </w:p>
    <w:p>
      <w:pPr>
        <w:pStyle w:val="ListBullet"/>
      </w:pPr>
      <w:r>
        <w:t>The process integrates with ERP System and depends on AWS for telemetry signals.</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