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API Documentation - Operations EU v2.0</w:t>
      </w:r>
    </w:p>
    <w:p>
      <w:r>
        <w:t>Department: Operations</w:t>
      </w:r>
    </w:p>
    <w:p>
      <w:r>
        <w:t>Author: Riley Kim</w:t>
      </w:r>
    </w:p>
    <w:p>
      <w:r>
        <w:t>Created date: 2025-08-16</w:t>
      </w:r>
    </w:p>
    <w:p>
      <w:r>
        <w:t>Region: EU</w:t>
      </w:r>
    </w:p>
    <w:p>
      <w:r>
        <w:t>Version: 2.0</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Authentication</w:t>
      </w:r>
    </w:p>
    <w:p>
      <w:r>
        <w:t>We prioritize customer impact, data integrity, and regulatory alignment. Regional teams in EU follow the same policy with localized legal review.</w:t>
      </w:r>
    </w:p>
    <w:p>
      <w:pPr>
        <w:pStyle w:val="ListBullet"/>
      </w:pPr>
      <w:r>
        <w:t>Audit sampling occurs monthly and is summarized in leadership dashboards.</w:t>
      </w:r>
    </w:p>
    <w:p>
      <w:pPr>
        <w:pStyle w:val="ListBullet"/>
      </w:pPr>
      <w:r>
        <w:t>The Operations team coordinates with SRE to maintain operational readiness.</w:t>
      </w:r>
    </w:p>
    <w:p>
      <w:pPr>
        <w:pStyle w:val="ListBullet"/>
      </w:pPr>
      <w:r>
        <w:t>The Operations team coordinates with SRE to maintain operational readiness.</w:t>
      </w:r>
    </w:p>
    <w:p>
      <w:pPr>
        <w:pStyle w:val="ListBullet"/>
      </w:pPr>
      <w:r>
        <w:t>Escalations should follow the on-call rotation with a response target of 15 minutes.</w:t>
      </w:r>
    </w:p>
    <w:p>
      <w:pPr>
        <w:pStyle w:val="ListBullet"/>
      </w:pPr>
      <w:r>
        <w:t>The process integrates with ERP System and depends on Datadog for telemetry signals.</w:t>
      </w:r>
    </w:p>
    <w:p>
      <w:pPr>
        <w:pStyle w:val="Heading1"/>
      </w:pPr>
      <w:r>
        <w:t>Endpoints</w:t>
      </w:r>
    </w:p>
    <w:p>
      <w:r>
        <w:t>The process integrates with ERP System and depends on Datadog for telemetry signals. Evidence artifacts are retained in GitHub Enterprise for at least 12 months. This document aligns with PCI DSS requirements and supports EU data residency expectations. This document aligns with PCI DSS requirements and supports EU data residency expectations.</w:t>
      </w:r>
    </w:p>
    <w:p>
      <w:r>
        <w:t>Stakeholders include the SRE, service owner, and compliance lead for approvals. Stakeholders include the SRE, service owner, and compliance lead for approvals. Systems are monitored via Datadog and alert routing in GitHub Enterprise.</w:t>
      </w:r>
    </w:p>
    <w:p>
      <w:pPr>
        <w:pStyle w:val="ListBullet"/>
      </w:pPr>
      <w:r>
        <w:t>Audit sampling occurs monthly and is summarized in leadership dashboards.</w:t>
      </w:r>
    </w:p>
    <w:p>
      <w:pPr>
        <w:pStyle w:val="ListBullet"/>
      </w:pPr>
      <w:r>
        <w:t>Evidence artifacts are retained in GitHub Enterprise for at least 12 months.</w:t>
      </w:r>
    </w:p>
    <w:p>
      <w:pPr>
        <w:pStyle w:val="ListBullet"/>
      </w:pPr>
      <w:r>
        <w:t>Teams must log requests in GitHub Enterprise and track outcomes in ERP System for audit readiness.</w:t>
      </w:r>
    </w:p>
    <w:p>
      <w:pPr>
        <w:pStyle w:val="ListBullet"/>
      </w:pPr>
      <w:r>
        <w:t>All incidents are tagged with severity and mapped to service tiers.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In Progress</w:t>
            </w:r>
          </w:p>
        </w:tc>
      </w:tr>
      <w:tr>
        <w:tc>
          <w:tcPr>
            <w:tcW w:type="dxa" w:w="2880"/>
          </w:tcPr>
          <w:p>
            <w:r>
              <w:t>Vendor check</w:t>
            </w:r>
          </w:p>
        </w:tc>
        <w:tc>
          <w:tcPr>
            <w:tcW w:type="dxa" w:w="2880"/>
          </w:tcPr>
          <w:p>
            <w:r>
              <w:t>Security</w:t>
            </w:r>
          </w:p>
        </w:tc>
        <w:tc>
          <w:tcPr>
            <w:tcW w:type="dxa" w:w="2880"/>
          </w:tcPr>
          <w:p>
            <w:r>
              <w:t>Complete</w:t>
            </w:r>
          </w:p>
        </w:tc>
      </w:tr>
      <w:tr>
        <w:tc>
          <w:tcPr>
            <w:tcW w:type="dxa" w:w="2880"/>
          </w:tcPr>
          <w:p>
            <w:r>
              <w:t>Backup validation</w:t>
            </w:r>
          </w:p>
        </w:tc>
        <w:tc>
          <w:tcPr>
            <w:tcW w:type="dxa" w:w="2880"/>
          </w:tcPr>
          <w:p>
            <w:r>
              <w:t>Security</w:t>
            </w:r>
          </w:p>
        </w:tc>
        <w:tc>
          <w:tcPr>
            <w:tcW w:type="dxa" w:w="2880"/>
          </w:tcPr>
          <w:p>
            <w:r>
              <w:t>In Progress</w:t>
            </w:r>
          </w:p>
        </w:tc>
      </w:tr>
      <w:tr>
        <w:tc>
          <w:tcPr>
            <w:tcW w:type="dxa" w:w="2880"/>
          </w:tcPr>
          <w:p>
            <w:r>
              <w:t>Vendor check</w:t>
            </w:r>
          </w:p>
        </w:tc>
        <w:tc>
          <w:tcPr>
            <w:tcW w:type="dxa" w:w="2880"/>
          </w:tcPr>
          <w:p>
            <w:r>
              <w:t>Operations</w:t>
            </w:r>
          </w:p>
        </w:tc>
        <w:tc>
          <w:tcPr>
            <w:tcW w:type="dxa" w:w="2880"/>
          </w:tcPr>
          <w:p>
            <w:r>
              <w:t>Planned</w:t>
            </w:r>
          </w:p>
        </w:tc>
      </w:tr>
    </w:tbl>
    <w:p>
      <w:pPr>
        <w:pStyle w:val="Heading1"/>
      </w:pPr>
      <w:r>
        <w:t>Request and Response</w:t>
      </w:r>
    </w:p>
    <w:p>
      <w:r>
        <w:t>Systems are monitored via Datadog and alert routing in GitHub Enterprise. We prioritize customer impact, data integrity, and regulatory alignment. This document aligns with PCI DSS requirements and supports EU data residency expectations.</w:t>
      </w:r>
    </w:p>
    <w:p>
      <w:r>
        <w:t>This document aligns with PCI DSS requirements and supports EU data residency expectations. All incidents are tagged with severity and mapped to service tiers. The process integrates with ERP System and depends on Datadog for telemetry signals.</w:t>
      </w:r>
    </w:p>
    <w:p>
      <w:pPr>
        <w:pStyle w:val="ListBullet"/>
      </w:pPr>
      <w:r>
        <w:t>Systems are monitored via Datadog and alert routing in GitHub Enterprise.</w:t>
      </w:r>
    </w:p>
    <w:p>
      <w:pPr>
        <w:pStyle w:val="ListBullet"/>
      </w:pPr>
      <w:r>
        <w:t>Escalations should follow the on-call rotation with a response target of 15 minutes.</w:t>
      </w:r>
    </w:p>
    <w:p>
      <w:pPr>
        <w:pStyle w:val="ListBullet"/>
      </w:pPr>
      <w:r>
        <w:t>All incidents are tagged with severity and mapped to service tiers.</w:t>
      </w:r>
    </w:p>
    <w:p>
      <w:pPr>
        <w:pStyle w:val="ListBullet"/>
      </w:pPr>
      <w:r>
        <w:t>Systems are monitored via Datadog and alert routing in GitHub Enterprise.</w:t>
      </w:r>
    </w:p>
    <w:p>
      <w:pPr>
        <w:pStyle w:val="ListBullet"/>
      </w:pPr>
      <w:r>
        <w:t>Systems are monitored via Datadog and alert routing in GitHub Enterprise.</w:t>
      </w:r>
    </w:p>
    <w:p>
      <w:pPr>
        <w:pStyle w:val="ListBullet"/>
      </w:pPr>
      <w:r>
        <w:t>Stakeholders include the SRE, service owner, and compliance lead for approvals.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Patch window</w:t>
            </w:r>
          </w:p>
        </w:tc>
        <w:tc>
          <w:tcPr>
            <w:tcW w:type="dxa" w:w="2880"/>
          </w:tcPr>
          <w:p>
            <w:r>
              <w:t>Operations</w:t>
            </w:r>
          </w:p>
        </w:tc>
        <w:tc>
          <w:tcPr>
            <w:tcW w:type="dxa" w:w="2880"/>
          </w:tcPr>
          <w:p>
            <w:r>
              <w:t>Blocked</w:t>
            </w:r>
          </w:p>
        </w:tc>
      </w:tr>
      <w:tr>
        <w:tc>
          <w:tcPr>
            <w:tcW w:type="dxa" w:w="2880"/>
          </w:tcPr>
          <w:p>
            <w:r>
              <w:t>Vendor check</w:t>
            </w:r>
          </w:p>
        </w:tc>
        <w:tc>
          <w:tcPr>
            <w:tcW w:type="dxa" w:w="2880"/>
          </w:tcPr>
          <w:p>
            <w:r>
              <w:t>Operations</w:t>
            </w:r>
          </w:p>
        </w:tc>
        <w:tc>
          <w:tcPr>
            <w:tcW w:type="dxa" w:w="2880"/>
          </w:tcPr>
          <w:p>
            <w:r>
              <w:t>Planned</w:t>
            </w:r>
          </w:p>
        </w:tc>
      </w:tr>
      <w:tr>
        <w:tc>
          <w:tcPr>
            <w:tcW w:type="dxa" w:w="2880"/>
          </w:tcPr>
          <w:p>
            <w:r>
              <w:t>Access review</w:t>
            </w:r>
          </w:p>
        </w:tc>
        <w:tc>
          <w:tcPr>
            <w:tcW w:type="dxa" w:w="2880"/>
          </w:tcPr>
          <w:p>
            <w:r>
              <w:t>SRE</w:t>
            </w:r>
          </w:p>
        </w:tc>
        <w:tc>
          <w:tcPr>
            <w:tcW w:type="dxa" w:w="2880"/>
          </w:tcPr>
          <w:p>
            <w:r>
              <w:t>Complete</w:t>
            </w:r>
          </w:p>
        </w:tc>
      </w:tr>
      <w:tr>
        <w:tc>
          <w:tcPr>
            <w:tcW w:type="dxa" w:w="2880"/>
          </w:tcPr>
          <w:p>
            <w:r>
              <w:t>Access review</w:t>
            </w:r>
          </w:p>
        </w:tc>
        <w:tc>
          <w:tcPr>
            <w:tcW w:type="dxa" w:w="2880"/>
          </w:tcPr>
          <w:p>
            <w:r>
              <w:t>SRE</w:t>
            </w:r>
          </w:p>
        </w:tc>
        <w:tc>
          <w:tcPr>
            <w:tcW w:type="dxa" w:w="2880"/>
          </w:tcPr>
          <w:p>
            <w:r>
              <w:t>In Progress</w:t>
            </w:r>
          </w:p>
        </w:tc>
      </w:tr>
    </w:tbl>
    <w:p>
      <w:pPr>
        <w:pStyle w:val="Heading1"/>
      </w:pPr>
      <w:r>
        <w:t>Error Handling</w:t>
      </w:r>
    </w:p>
    <w:p>
      <w:r>
        <w:t>We prioritize customer impact, data integrity, and regulatory alignment. Teams must log requests in GitHub Enterprise and track outcomes in ERP System for audit readiness. Evidence artifacts are retained in GitHub Enterprise for at least 12 months.</w:t>
      </w:r>
    </w:p>
    <w:p>
      <w:r>
        <w:t>All incidents are tagged with severity and mapped to service tiers. Stakeholders include the SRE, service owner, and compliance lead for approvals.</w:t>
      </w:r>
    </w:p>
    <w:p>
      <w:pPr>
        <w:pStyle w:val="ListBullet"/>
      </w:pPr>
      <w:r>
        <w:t>All changes require peer review and validation in the ERP System before production promotion.</w:t>
      </w:r>
    </w:p>
    <w:p>
      <w:pPr>
        <w:pStyle w:val="ListBullet"/>
      </w:pPr>
      <w:r>
        <w:t>The Operations organization uses Datadog to enforce consistent service baselines.</w:t>
      </w:r>
    </w:p>
    <w:p>
      <w:pPr>
        <w:pStyle w:val="ListBullet"/>
      </w:pPr>
      <w:r>
        <w:t>Stakeholders include the SRE, service owner, and compliance lead for approvals.</w:t>
      </w:r>
    </w:p>
    <w:p>
      <w:pPr>
        <w:pStyle w:val="Heading1"/>
      </w:pPr>
      <w:r>
        <w:t>Rate Limits</w:t>
      </w:r>
    </w:p>
    <w:p>
      <w:r>
        <w:t>All incidents are tagged with severity and mapped to service tiers. Teams must log requests in GitHub Enterprise and track outcomes in ERP System for audit readiness.</w:t>
      </w:r>
    </w:p>
    <w:p>
      <w:r>
        <w:t>Evidence artifacts are retained in GitHub Enterprise for at least 12 months. All changes require peer review and validation in the ERP System before production promotion. All changes require peer review and validation in the ERP System before production promotion. All incidents are tagged with severity and mapped to service tiers.</w:t>
      </w:r>
    </w:p>
    <w:p>
      <w:pPr>
        <w:pStyle w:val="ListBullet"/>
      </w:pPr>
      <w:r>
        <w:t>All incidents are tagged with severity and mapped to service tiers.</w:t>
      </w:r>
    </w:p>
    <w:p>
      <w:pPr>
        <w:pStyle w:val="ListBullet"/>
      </w:pPr>
      <w:r>
        <w:t>Regional teams in EU follow the same policy with localized legal review.</w:t>
      </w:r>
    </w:p>
    <w:p>
      <w:pPr>
        <w:pStyle w:val="ListBullet"/>
      </w:pPr>
      <w:r>
        <w:t>Escalations should follow the on-call rotation with a response target of 15 minutes.</w:t>
      </w:r>
    </w:p>
    <w:p>
      <w:pPr>
        <w:pStyle w:val="ListBullet"/>
      </w:pPr>
      <w:r>
        <w:t>This document aligns with PCI DSS requirements and supports EU data residency expectations.</w:t>
      </w:r>
    </w:p>
    <w:p>
      <w:pPr>
        <w:pStyle w:val="ListBullet"/>
      </w:pPr>
      <w:r>
        <w:t>Teams must log requests in GitHub Enterprise and track outcomes in ERP System for audit readiness.</w:t>
      </w:r>
    </w:p>
    <w:p>
      <w:pPr>
        <w:pStyle w:val="ListBullet"/>
      </w:pPr>
      <w:r>
        <w:t>We prioritize customer impact, data integrity, and regulatory alignment.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