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Operations EU v1.2</w:t>
      </w:r>
    </w:p>
    <w:p>
      <w:r>
        <w:t>Department: Operations</w:t>
      </w:r>
    </w:p>
    <w:p>
      <w:r>
        <w:t>Author: Alex Brown</w:t>
      </w:r>
    </w:p>
    <w:p>
      <w:r>
        <w:t>Created date: 2026-05-21</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All changes require peer review and validation in the Endpoint Management before production promotion. This document aligns with GDPR requirements and supports EU data residency expectations. Audit sampling occurs monthly and is summarized in leadership dashboards.</w:t>
      </w:r>
    </w:p>
    <w:p>
      <w:r>
        <w:t>All incidents are tagged with severity and mapped to service tiers. Stakeholders include the Support Specialist, service owner, and compliance lead for approvals. Risk acceptance must be documented and revalidated each quarter. Escalations should follow the on-call rotation with a response target of 60 minutes.</w:t>
      </w:r>
    </w:p>
    <w:p>
      <w:pPr>
        <w:pStyle w:val="ListBullet"/>
      </w:pPr>
      <w:r>
        <w:t>This document aligns with GDPR requirements and supports EU data residency expectations.</w:t>
      </w:r>
    </w:p>
    <w:p>
      <w:pPr>
        <w:pStyle w:val="ListBullet"/>
      </w:pPr>
      <w:r>
        <w:t>Teams must log requests in Confluence and track outcomes in Endpoint Management for audit readiness.</w:t>
      </w:r>
    </w:p>
    <w:p>
      <w:pPr>
        <w:pStyle w:val="ListBullet"/>
      </w:pPr>
      <w:r>
        <w:t>The Operations team coordinates with Support Specialist to maintain operational readiness.</w:t>
      </w:r>
    </w:p>
    <w:p>
      <w:pPr>
        <w:pStyle w:val="ListBullet"/>
      </w:pPr>
      <w:r>
        <w:t>We prioritize customer impact, data integrity, and regulatory alignment.</w:t>
      </w:r>
    </w:p>
    <w:p>
      <w:pPr>
        <w:pStyle w:val="ListBullet"/>
      </w:pPr>
      <w:r>
        <w:t>All incidents are tagged with severity and mapped to service tiers.</w:t>
      </w:r>
    </w:p>
    <w:p>
      <w:pPr>
        <w:pStyle w:val="Heading1"/>
      </w:pPr>
      <w:r>
        <w:t>Endpoints</w:t>
      </w:r>
    </w:p>
    <w:p>
      <w:r>
        <w:t>The Operations team coordinates with Support Specialist to maintain operational readiness. Stakeholders include the Support Specialist, service owner, and compliance lead for approvals.</w:t>
      </w:r>
    </w:p>
    <w:p>
      <w:pPr>
        <w:pStyle w:val="ListBullet"/>
      </w:pPr>
      <w:r>
        <w:t>Regional teams in EU follow the same policy with localized legal review.</w:t>
      </w:r>
    </w:p>
    <w:p>
      <w:pPr>
        <w:pStyle w:val="ListBullet"/>
      </w:pPr>
      <w:r>
        <w:t>Teams must log requests in Confluence and track outcomes in Endpoint Management for audit readiness.</w:t>
      </w:r>
    </w:p>
    <w:p>
      <w:pPr>
        <w:pStyle w:val="ListBullet"/>
      </w:pPr>
      <w:r>
        <w:t>Evidence artifacts are retained in Confluence for at least 12 months.</w:t>
      </w:r>
    </w:p>
    <w:p>
      <w:pPr>
        <w:pStyle w:val="Heading1"/>
      </w:pPr>
      <w:r>
        <w:t>Request and Response</w:t>
      </w:r>
    </w:p>
    <w:p>
      <w:r>
        <w:t>Teams must log requests in Confluence and track outcomes in Endpoint Management for audit readiness. Risk acceptance must be documented and revalidated each quarter.</w:t>
      </w:r>
    </w:p>
    <w:p>
      <w:r>
        <w:t>Teams must log requests in Confluence and track outcomes in Endpoint Management for audit readiness. The process integrates with Endpoint Management and depends on Azure for telemetry signals. Evidence artifacts are retained in Confluence for at least 12 months. The Operations organization uses Azure to enforce consistent service baselines.</w:t>
      </w:r>
    </w:p>
    <w:p>
      <w:pPr>
        <w:pStyle w:val="ListBullet"/>
      </w:pPr>
      <w:r>
        <w:t>Stakeholders include the Support Specialist, service owner, and compliance lead for approvals.</w:t>
      </w:r>
    </w:p>
    <w:p>
      <w:pPr>
        <w:pStyle w:val="ListBullet"/>
      </w:pPr>
      <w:r>
        <w:t>Risk acceptance must be documented and revalidated each quarter.</w:t>
      </w:r>
    </w:p>
    <w:p>
      <w:pPr>
        <w:pStyle w:val="ListBullet"/>
      </w:pPr>
      <w:r>
        <w:t>Risk acceptance must be documented and revalidated each quarter.</w:t>
      </w:r>
    </w:p>
    <w:p>
      <w:pPr>
        <w:pStyle w:val="ListBullet"/>
      </w:pPr>
      <w:r>
        <w:t>The process integrates with Endpoint Management and depends on Azure for telemetry signals.</w:t>
      </w:r>
    </w:p>
    <w:p>
      <w:pPr>
        <w:pStyle w:val="ListBullet"/>
      </w:pPr>
      <w:r>
        <w:t>Teams must log requests in Confluence and track outcomes in Endpoint Management for audit readiness.</w:t>
      </w:r>
    </w:p>
    <w:p>
      <w:pPr>
        <w:pStyle w:val="ListBullet"/>
      </w:pPr>
      <w:r>
        <w:t>This document aligns with GDPR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Patch window</w:t>
            </w:r>
          </w:p>
        </w:tc>
        <w:tc>
          <w:tcPr>
            <w:tcW w:type="dxa" w:w="2880"/>
          </w:tcPr>
          <w:p>
            <w:r>
              <w:t>Support Specialist</w:t>
            </w:r>
          </w:p>
        </w:tc>
        <w:tc>
          <w:tcPr>
            <w:tcW w:type="dxa" w:w="2880"/>
          </w:tcPr>
          <w:p>
            <w:r>
              <w:t>Complete</w:t>
            </w:r>
          </w:p>
        </w:tc>
      </w:tr>
    </w:tbl>
    <w:p>
      <w:pPr>
        <w:pStyle w:val="Heading1"/>
      </w:pPr>
      <w:r>
        <w:t>Error Handling</w:t>
      </w:r>
    </w:p>
    <w:p>
      <w:r>
        <w:t>Regional teams in EU follow the same policy with localized legal review. Stakeholders include the Support Specialist, service owner, and compliance lead for approvals. We prioritize customer impact, data integrity, and regulatory alignment.</w:t>
      </w:r>
    </w:p>
    <w:p>
      <w:r>
        <w:t>Risk acceptance must be documented and revalidated each quarter. The Operations organization uses Azure to enforce consistent service baselines. Escalations should follow the on-call rotation with a response target of 60 minutes. Audit sampling occurs monthly and is summarized in leadership dashboards.</w:t>
      </w:r>
    </w:p>
    <w:p>
      <w:pPr>
        <w:pStyle w:val="ListBullet"/>
      </w:pPr>
      <w:r>
        <w:t>Audit sampling occurs monthly and is summarized in leadership dashboards.</w:t>
      </w:r>
    </w:p>
    <w:p>
      <w:pPr>
        <w:pStyle w:val="ListBullet"/>
      </w:pPr>
      <w:r>
        <w:t>This document aligns with GDPR requirements and supports EU data residency expectations.</w:t>
      </w:r>
    </w:p>
    <w:p>
      <w:pPr>
        <w:pStyle w:val="ListBullet"/>
      </w:pPr>
      <w:r>
        <w:t>The process integrates with Endpoint Management and depends on Azure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Complete</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w:t>
            </w:r>
          </w:p>
        </w:tc>
        <w:tc>
          <w:tcPr>
            <w:tcW w:type="dxa" w:w="2880"/>
          </w:tcPr>
          <w:p>
            <w:r>
              <w:t>In Progress</w:t>
            </w:r>
          </w:p>
        </w:tc>
      </w:tr>
    </w:tbl>
    <w:p>
      <w:pPr>
        <w:pStyle w:val="Heading1"/>
      </w:pPr>
      <w:r>
        <w:t>Rate Limits</w:t>
      </w:r>
    </w:p>
    <w:p>
      <w:r>
        <w:t>Risk acceptance must be documented and revalidated each quarter. Systems are monitored via Azure and alert routing in Confluence.</w:t>
      </w:r>
    </w:p>
    <w:p>
      <w:r>
        <w:t>The Operations team coordinates with Support Specialist to maintain operational readiness. The Operations team coordinates with Support Specialist to maintain operational readiness. All incidents are tagged with severity and mapped to service tiers. The process integrates with Endpoint Management and depends on Azure for telemetry signals.</w:t>
      </w:r>
    </w:p>
    <w:p>
      <w:pPr>
        <w:pStyle w:val="ListBullet"/>
      </w:pPr>
      <w:r>
        <w:t>Systems are monitored via Azure and alert routing in Confluence.</w:t>
      </w:r>
    </w:p>
    <w:p>
      <w:pPr>
        <w:pStyle w:val="ListBullet"/>
      </w:pPr>
      <w:r>
        <w:t>This document aligns with GDPR requirements and supports EU data residency expectations.</w:t>
      </w:r>
    </w:p>
    <w:p>
      <w:pPr>
        <w:pStyle w:val="ListBullet"/>
      </w:pPr>
      <w:r>
        <w:t>All incidents are tagged with severity and mapped to service tiers.</w:t>
      </w:r>
    </w:p>
    <w:p>
      <w:pPr>
        <w:pStyle w:val="ListBullet"/>
      </w:pPr>
      <w:r>
        <w:t>The Operations team coordinates with Support Specialist to maintain operational readiness.</w:t>
      </w:r>
    </w:p>
    <w:p>
      <w:pPr>
        <w:pStyle w:val="ListBullet"/>
      </w:pPr>
      <w:r>
        <w:t>The process integrates with Endpoint Management and depends on Azure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Complete</w:t>
            </w:r>
          </w:p>
        </w:tc>
      </w:tr>
      <w:tr>
        <w:tc>
          <w:tcPr>
            <w:tcW w:type="dxa" w:w="2880"/>
          </w:tcPr>
          <w:p>
            <w:r>
              <w:t>Incident drill</w:t>
            </w:r>
          </w:p>
        </w:tc>
        <w:tc>
          <w:tcPr>
            <w:tcW w:type="dxa" w:w="2880"/>
          </w:tcPr>
          <w:p>
            <w:r>
              <w:t>Security</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