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Procurement US v3.0</w:t>
      </w:r>
    </w:p>
    <w:p>
      <w:r>
        <w:t>Department: Procurement</w:t>
      </w:r>
    </w:p>
    <w:p>
      <w:r>
        <w:t>Author: Jordan Nguyen</w:t>
      </w:r>
    </w:p>
    <w:p>
      <w:r>
        <w:t>Created date: 2024-07-07</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All changes require peer review and validation in the ERP System before production promotion. All changes require peer review and validation in the ERP System before production promotion. The process integrates with ERP System and depends on Kubernetes for telemetry signals.</w:t>
      </w:r>
    </w:p>
    <w:p>
      <w:r>
        <w:t>The Procurement organization uses Kubernetes to enforce consistent service baselines. Stakeholders include the HR Business Partner, service owner, and compliance lead for approvals. Teams must log requests in Google Workspace and track outcomes in ERP System for audit readiness.</w:t>
      </w:r>
    </w:p>
    <w:p>
      <w:pPr>
        <w:pStyle w:val="ListBullet"/>
      </w:pPr>
      <w:r>
        <w:t>This document aligns with PCI DSS requirements and supports US data residency expectations.</w:t>
      </w:r>
    </w:p>
    <w:p>
      <w:pPr>
        <w:pStyle w:val="ListBullet"/>
      </w:pPr>
      <w:r>
        <w:t>This document aligns with PCI DSS requirements and supports US data residency expectations.</w:t>
      </w:r>
    </w:p>
    <w:p>
      <w:pPr>
        <w:pStyle w:val="ListBullet"/>
      </w:pPr>
      <w:r>
        <w:t>Evidence artifacts are retained in Google Workspace for at least 36 months.</w:t>
      </w:r>
    </w:p>
    <w:p>
      <w:pPr>
        <w:pStyle w:val="ListBullet"/>
      </w:pPr>
      <w:r>
        <w:t>We prioritize customer impact, data integrity, and regulatory alignment.</w:t>
      </w:r>
    </w:p>
    <w:p>
      <w:pPr>
        <w:pStyle w:val="ListBullet"/>
      </w:pPr>
      <w:r>
        <w:t>The process integrates with ERP System and depends on Kubernetes for telemetry signals.</w:t>
      </w:r>
    </w:p>
    <w:p>
      <w:pPr>
        <w:pStyle w:val="ListBullet"/>
      </w:pPr>
      <w:r>
        <w:t>All changes require peer review and validation in the ERP System before production promotion.</w:t>
      </w:r>
    </w:p>
    <w:p>
      <w:pPr>
        <w:pStyle w:val="Heading1"/>
      </w:pPr>
      <w:r>
        <w:t>Endpoints</w:t>
      </w:r>
    </w:p>
    <w:p>
      <w:r>
        <w:t>Systems are monitored via Kubernetes and alert routing in Google Workspace. All changes require peer review and validation in the ERP System before production promotion.</w:t>
      </w:r>
    </w:p>
    <w:p>
      <w:pPr>
        <w:pStyle w:val="ListBullet"/>
      </w:pPr>
      <w:r>
        <w:t>Evidence artifacts are retained in Google Workspace for at least 36 months.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All incidents are tagged with severity and mapped to service tiers.</w:t>
      </w:r>
    </w:p>
    <w:p>
      <w:pPr>
        <w:pStyle w:val="ListBullet"/>
      </w:pPr>
      <w:r>
        <w:t>Stakeholders include the HR Business Partner,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Procurement</w:t>
            </w:r>
          </w:p>
        </w:tc>
        <w:tc>
          <w:tcPr>
            <w:tcW w:type="dxa" w:w="2880"/>
          </w:tcPr>
          <w:p>
            <w:r>
              <w:t>Blocked</w:t>
            </w:r>
          </w:p>
        </w:tc>
      </w:tr>
      <w:tr>
        <w:tc>
          <w:tcPr>
            <w:tcW w:type="dxa" w:w="2880"/>
          </w:tcPr>
          <w:p>
            <w:r>
              <w:t>Patch window</w:t>
            </w:r>
          </w:p>
        </w:tc>
        <w:tc>
          <w:tcPr>
            <w:tcW w:type="dxa" w:w="2880"/>
          </w:tcPr>
          <w:p>
            <w:r>
              <w:t>Operations</w:t>
            </w:r>
          </w:p>
        </w:tc>
        <w:tc>
          <w:tcPr>
            <w:tcW w:type="dxa" w:w="2880"/>
          </w:tcPr>
          <w:p>
            <w:r>
              <w:t>Planned</w:t>
            </w:r>
          </w:p>
        </w:tc>
      </w:tr>
      <w:tr>
        <w:tc>
          <w:tcPr>
            <w:tcW w:type="dxa" w:w="2880"/>
          </w:tcPr>
          <w:p>
            <w:r>
              <w:t>Vendor check</w:t>
            </w:r>
          </w:p>
        </w:tc>
        <w:tc>
          <w:tcPr>
            <w:tcW w:type="dxa" w:w="2880"/>
          </w:tcPr>
          <w:p>
            <w:r>
              <w:t>Procurement</w:t>
            </w:r>
          </w:p>
        </w:tc>
        <w:tc>
          <w:tcPr>
            <w:tcW w:type="dxa" w:w="2880"/>
          </w:tcPr>
          <w:p>
            <w:r>
              <w:t>Blocked</w:t>
            </w:r>
          </w:p>
        </w:tc>
      </w:tr>
      <w:tr>
        <w:tc>
          <w:tcPr>
            <w:tcW w:type="dxa" w:w="2880"/>
          </w:tcPr>
          <w:p>
            <w:r>
              <w:t>Vendor check</w:t>
            </w:r>
          </w:p>
        </w:tc>
        <w:tc>
          <w:tcPr>
            <w:tcW w:type="dxa" w:w="2880"/>
          </w:tcPr>
          <w:p>
            <w:r>
              <w:t>HR Business Partner</w:t>
            </w:r>
          </w:p>
        </w:tc>
        <w:tc>
          <w:tcPr>
            <w:tcW w:type="dxa" w:w="2880"/>
          </w:tcPr>
          <w:p>
            <w:r>
              <w:t>Complete</w:t>
            </w:r>
          </w:p>
        </w:tc>
      </w:tr>
    </w:tbl>
    <w:p>
      <w:pPr>
        <w:pStyle w:val="Heading1"/>
      </w:pPr>
      <w:r>
        <w:t>Request and Response</w:t>
      </w:r>
    </w:p>
    <w:p>
      <w:r>
        <w:t>All changes require peer review and validation in the ERP System before production promotion. The Procurement organization uses Kubernetes to enforce consistent service baselines. All incidents are tagged with severity and mapped to service tiers. Systems are monitored via Kubernetes and alert routing in Google Workspace.</w:t>
      </w:r>
    </w:p>
    <w:p>
      <w:pPr>
        <w:pStyle w:val="ListBullet"/>
      </w:pPr>
      <w:r>
        <w:t>Evidence artifacts are retained in Google Workspace for at least 36 months.</w:t>
      </w:r>
    </w:p>
    <w:p>
      <w:pPr>
        <w:pStyle w:val="ListBullet"/>
      </w:pPr>
      <w:r>
        <w:t>Evidence artifacts are retained in Google Workspace for at least 36 months.</w:t>
      </w:r>
    </w:p>
    <w:p>
      <w:pPr>
        <w:pStyle w:val="ListBullet"/>
      </w:pPr>
      <w:r>
        <w:t>Stakeholders include the HR Business Partner, service owner, and compliance lead for approvals.</w:t>
      </w:r>
    </w:p>
    <w:p>
      <w:pPr>
        <w:pStyle w:val="Heading1"/>
      </w:pPr>
      <w:r>
        <w:t>Error Handling</w:t>
      </w:r>
    </w:p>
    <w:p>
      <w:r>
        <w:t>The Procurement organization uses Kubernetes to enforce consistent service baselines. Stakeholders include the HR Business Partner, service owner, and compliance lead for approvals.</w:t>
      </w:r>
    </w:p>
    <w:p>
      <w:r>
        <w:t>Stakeholders include the HR Business Partner, service owner, and compliance lead for approvals. All incidents are tagged with severity and mapped to service tiers. The Procurement organization uses Kubernetes to enforce consistent service baselines. Evidence artifacts are retained in Google Workspace for at least 36 months.</w:t>
      </w:r>
    </w:p>
    <w:p>
      <w:pPr>
        <w:pStyle w:val="ListBullet"/>
      </w:pPr>
      <w:r>
        <w:t>We prioritize customer impact, data integrity, and regulatory alignment.</w:t>
      </w:r>
    </w:p>
    <w:p>
      <w:pPr>
        <w:pStyle w:val="ListBullet"/>
      </w:pPr>
      <w:r>
        <w:t>This document aligns with PCI DSS requirements and supports US data residency expectations.</w:t>
      </w:r>
    </w:p>
    <w:p>
      <w:pPr>
        <w:pStyle w:val="ListBullet"/>
      </w:pPr>
      <w:r>
        <w:t>Risk acceptance must be documented and revalidated each quarter.</w:t>
      </w:r>
    </w:p>
    <w:p>
      <w:pPr>
        <w:pStyle w:val="ListBullet"/>
      </w:pPr>
      <w:r>
        <w:t>This document aligns with PCI DSS requirements and supports US data residency expectations.</w:t>
      </w:r>
    </w:p>
    <w:p>
      <w:pPr>
        <w:pStyle w:val="ListBullet"/>
      </w:pPr>
      <w:r>
        <w:t>Systems are monitored via Kubernetes and alert routing in Google Workspace.</w:t>
      </w:r>
    </w:p>
    <w:p>
      <w:pPr>
        <w:pStyle w:val="Heading1"/>
      </w:pPr>
      <w:r>
        <w:t>Rate Limits</w:t>
      </w:r>
    </w:p>
    <w:p>
      <w:r>
        <w:t>All changes require peer review and validation in the ERP System before production promotion. Regional teams in US follow the same policy with localized legal review. Teams must log requests in Google Workspace and track outcomes in ERP System for audit readiness.</w:t>
      </w:r>
    </w:p>
    <w:p>
      <w:r>
        <w:t>Regional teams in US follow the same policy with localized legal review. All incidents are tagged with severity and mapped to service tiers. Teams must log requests in Google Workspace and track outcomes in ERP System for audit readiness. Teams must log requests in Google Workspace and track outcomes in ERP System for audit readiness.</w:t>
      </w:r>
    </w:p>
    <w:p>
      <w:pPr>
        <w:pStyle w:val="ListBullet"/>
      </w:pPr>
      <w:r>
        <w:t>All incidents are tagged with severity and mapped to service tiers.</w:t>
      </w:r>
    </w:p>
    <w:p>
      <w:pPr>
        <w:pStyle w:val="ListBullet"/>
      </w:pPr>
      <w:r>
        <w:t>Teams must log requests in Google Workspace and track outcomes in ERP System for audit readiness.</w:t>
      </w:r>
    </w:p>
    <w:p>
      <w:pPr>
        <w:pStyle w:val="ListBullet"/>
      </w:pPr>
      <w:r>
        <w:t>Risk acceptance must be documented and revalidated each quarter.</w:t>
      </w:r>
    </w:p>
    <w:p>
      <w:pPr>
        <w:pStyle w:val="ListBullet"/>
      </w:pPr>
      <w:r>
        <w:t>The process integrates with ERP System and depends on Kubernetes for telemetry signals.</w:t>
      </w:r>
    </w:p>
    <w:p>
      <w:pPr>
        <w:pStyle w:val="ListBullet"/>
      </w:pPr>
      <w:r>
        <w:t>Systems are monitored via Kubernetes and alert routing in Google Workspace.</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In Progress</w:t>
            </w:r>
          </w:p>
        </w:tc>
      </w:tr>
      <w:tr>
        <w:tc>
          <w:tcPr>
            <w:tcW w:type="dxa" w:w="2880"/>
          </w:tcPr>
          <w:p>
            <w:r>
              <w:t>Patch window</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