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Product APAC v2.1</w:t>
      </w:r>
    </w:p>
    <w:p>
      <w:r>
        <w:t>Department: Product</w:t>
      </w:r>
    </w:p>
    <w:p>
      <w:r>
        <w:t>Author: Avery Lee</w:t>
      </w:r>
    </w:p>
    <w:p>
      <w:r>
        <w:t>Created date: 2024-03-13</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All incidents are tagged with severity and mapped to service tiers. Systems are monitored via Okta and alert routing in SAP. This document aligns with SOC 2 requirements and supports APAC data residency expectations.</w:t>
      </w:r>
    </w:p>
    <w:p>
      <w:r>
        <w:t>Evidence artifacts are retained in SAP for at least 24 months. All changes require peer review and validation in the Endpoint Management before production promotion.</w:t>
      </w:r>
    </w:p>
    <w:p>
      <w:pPr>
        <w:pStyle w:val="ListBullet"/>
      </w:pPr>
      <w:r>
        <w:t>Risk acceptance must be documented and revalidated each quarter.</w:t>
      </w:r>
    </w:p>
    <w:p>
      <w:pPr>
        <w:pStyle w:val="ListBullet"/>
      </w:pPr>
      <w:r>
        <w:t>Systems are monitored via Okta and alert routing in SAP.</w:t>
      </w:r>
    </w:p>
    <w:p>
      <w:pPr>
        <w:pStyle w:val="ListBullet"/>
      </w:pPr>
      <w:r>
        <w:t>Regional teams in APAC follow the same policy with localized legal review.</w:t>
      </w:r>
    </w:p>
    <w:p>
      <w:pPr>
        <w:pStyle w:val="Heading1"/>
      </w:pPr>
      <w:r>
        <w:t>Endpoints</w:t>
      </w:r>
    </w:p>
    <w:p>
      <w:r>
        <w:t>Risk acceptance must be documented and revalidated each quarter. Systems are monitored via Okta and alert routing in SAP. Stakeholders include the Support Specialist, service owner, and compliance lead for approvals. Teams must log requests in SAP and track outcomes in Endpoint Management for audit readiness.</w:t>
      </w:r>
    </w:p>
    <w:p>
      <w:r>
        <w:t>The process integrates with Endpoint Management and depends on Okta for telemetry signals. Regional teams in APAC follow the same policy with localized legal review. Audit sampling occurs monthly and is summarized in leadership dashboards.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Teams must log requests in SAP and track outcomes in Endpoint Management for audit readiness.</w:t>
      </w:r>
    </w:p>
    <w:p>
      <w:pPr>
        <w:pStyle w:val="ListBullet"/>
      </w:pPr>
      <w:r>
        <w:t>Audit sampling occurs monthly and is summarized in leadership dashboards.</w:t>
      </w:r>
    </w:p>
    <w:p>
      <w:pPr>
        <w:pStyle w:val="Heading1"/>
      </w:pPr>
      <w:r>
        <w:t>Request and Response</w:t>
      </w:r>
    </w:p>
    <w:p>
      <w:r>
        <w:t>Systems are monitored via Okta and alert routing in SAP. Risk acceptance must be documented and revalidated each quarter. All incidents are tagged with severity and mapped to service tiers. This document aligns with SOC 2 requirements and supports APAC data residency expectations.</w:t>
      </w:r>
    </w:p>
    <w:p>
      <w:pPr>
        <w:pStyle w:val="ListBullet"/>
      </w:pPr>
      <w:r>
        <w:t>Risk acceptance must be documented and revalidated each quarter.</w:t>
      </w:r>
    </w:p>
    <w:p>
      <w:pPr>
        <w:pStyle w:val="ListBullet"/>
      </w:pPr>
      <w:r>
        <w:t>All changes require peer review and validation in the Endpoint Management before production promotion.</w:t>
      </w:r>
    </w:p>
    <w:p>
      <w:pPr>
        <w:pStyle w:val="ListBullet"/>
      </w:pPr>
      <w:r>
        <w:t>Stakeholders include the Support Specialist, service owner, and compliance lead for approvals.</w:t>
      </w:r>
    </w:p>
    <w:p>
      <w:pPr>
        <w:pStyle w:val="ListBullet"/>
      </w:pPr>
      <w:r>
        <w:t>Teams must log requests in SAP and track outcomes in Endpoint Management for audit readiness.</w:t>
      </w:r>
    </w:p>
    <w:p>
      <w:pPr>
        <w:pStyle w:val="Heading1"/>
      </w:pPr>
      <w:r>
        <w:t>Error Handling</w:t>
      </w:r>
    </w:p>
    <w:p>
      <w:r>
        <w:t>The Product organization uses Okta to enforce consistent service baselines. Regional teams in APAC follow the same policy with localized legal review.</w:t>
      </w:r>
    </w:p>
    <w:p>
      <w:pPr>
        <w:pStyle w:val="ListBullet"/>
      </w:pPr>
      <w:r>
        <w:t>Stakeholders include the Support Specialist, service owner, and compliance lead for approvals.</w:t>
      </w:r>
    </w:p>
    <w:p>
      <w:pPr>
        <w:pStyle w:val="ListBullet"/>
      </w:pPr>
      <w:r>
        <w:t>All incidents are tagged with severity and mapped to service tiers.</w:t>
      </w:r>
    </w:p>
    <w:p>
      <w:pPr>
        <w:pStyle w:val="ListBullet"/>
      </w:pPr>
      <w:r>
        <w:t>Teams must log requests in SAP and track outcomes in Endpoint Management for audit readiness.</w:t>
      </w:r>
    </w:p>
    <w:p>
      <w:pPr>
        <w:pStyle w:val="Heading1"/>
      </w:pPr>
      <w:r>
        <w:t>Rate Limits</w:t>
      </w:r>
    </w:p>
    <w:p>
      <w:r>
        <w:t>This document aligns with SOC 2 requirements and supports APAC data residency expectations. Audit sampling occurs monthly and is summarized in leadership dashboards.</w:t>
      </w:r>
    </w:p>
    <w:p>
      <w:r>
        <w:t>Teams must log requests in SAP and track outcomes in Endpoint Management for audit readiness. All incidents are tagged with severity and mapped to service tiers. All incidents are tagged with severity and mapped to service tiers. We prioritize customer impact, data integrity, and regulatory alignment.</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All changes require peer review and validation in the Endpoint Management before production promotion.</w:t>
      </w:r>
    </w:p>
    <w:p>
      <w:pPr>
        <w:pStyle w:val="ListBullet"/>
      </w:pPr>
      <w:r>
        <w:t>The Product team coordinates with Support Specialist to maintain operational readiness.</w:t>
      </w:r>
    </w:p>
    <w:p>
      <w:pPr>
        <w:pStyle w:val="ListBullet"/>
      </w:pPr>
      <w:r>
        <w:t>The process integrates with Endpoint Management and depends on Okta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Product</w:t>
            </w:r>
          </w:p>
        </w:tc>
        <w:tc>
          <w:tcPr>
            <w:tcW w:type="dxa" w:w="2880"/>
          </w:tcPr>
          <w:p>
            <w:r>
              <w:t>Complete</w:t>
            </w:r>
          </w:p>
        </w:tc>
      </w:tr>
      <w:tr>
        <w:tc>
          <w:tcPr>
            <w:tcW w:type="dxa" w:w="2880"/>
          </w:tcPr>
          <w:p>
            <w:r>
              <w:t>Patch window</w:t>
            </w:r>
          </w:p>
        </w:tc>
        <w:tc>
          <w:tcPr>
            <w:tcW w:type="dxa" w:w="2880"/>
          </w:tcPr>
          <w:p>
            <w:r>
              <w:t>Operations</w:t>
            </w:r>
          </w:p>
        </w:tc>
        <w:tc>
          <w:tcPr>
            <w:tcW w:type="dxa" w:w="2880"/>
          </w:tcPr>
          <w:p>
            <w:r>
              <w:t>Complete</w:t>
            </w:r>
          </w:p>
        </w:tc>
      </w:tr>
      <w:tr>
        <w:tc>
          <w:tcPr>
            <w:tcW w:type="dxa" w:w="2880"/>
          </w:tcPr>
          <w:p>
            <w:r>
              <w:t>Access review</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