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Product APAC v1.1</w:t>
      </w:r>
    </w:p>
    <w:p>
      <w:r>
        <w:t>Department: Product</w:t>
      </w:r>
    </w:p>
    <w:p>
      <w:r>
        <w:t>Author: Avery Patel</w:t>
      </w:r>
    </w:p>
    <w:p>
      <w:r>
        <w:t>Created date: 2025-01-25</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Escalations should follow the on-call rotation with a response target of 30 minutes. Regional teams in APAC follow the same policy with localized legal review.</w:t>
      </w:r>
    </w:p>
    <w:p>
      <w:pPr>
        <w:pStyle w:val="ListBullet"/>
      </w:pPr>
      <w:r>
        <w:t>This document aligns with PCI DSS requirements and supports APAC data residency expectations.</w:t>
      </w:r>
    </w:p>
    <w:p>
      <w:pPr>
        <w:pStyle w:val="ListBullet"/>
      </w:pPr>
      <w:r>
        <w:t>All incidents are tagged with severity and mapped to service tiers.</w:t>
      </w:r>
    </w:p>
    <w:p>
      <w:pPr>
        <w:pStyle w:val="ListBullet"/>
      </w:pPr>
      <w:r>
        <w:t>Regional teams in APAC follow the same policy with localized legal review.</w:t>
      </w:r>
    </w:p>
    <w:p>
      <w:pPr>
        <w:pStyle w:val="Heading1"/>
      </w:pPr>
      <w:r>
        <w:t>Endpoints</w:t>
      </w:r>
    </w:p>
    <w:p>
      <w:r>
        <w:t>All changes require peer review and validation in the Customer Data Lake before production promotion. Systems are monitored via Vault and alert routing in Jira. Stakeholders include the Systems Engineer, service owner, and compliance lead for approvals. All incidents are tagged with severity and mapped to service tiers.</w:t>
      </w:r>
    </w:p>
    <w:p>
      <w:pPr>
        <w:pStyle w:val="ListBullet"/>
      </w:pPr>
      <w:r>
        <w:t>The Product organization uses Vault to enforce consistent service baselines.</w:t>
      </w:r>
    </w:p>
    <w:p>
      <w:pPr>
        <w:pStyle w:val="ListBullet"/>
      </w:pPr>
      <w:r>
        <w:t>Risk acceptance must be documented and revalidated each quarter.</w:t>
      </w:r>
    </w:p>
    <w:p>
      <w:pPr>
        <w:pStyle w:val="ListBullet"/>
      </w:pPr>
      <w:r>
        <w:t>All incidents are tagged with severity and mapped to service tiers.</w:t>
      </w:r>
    </w:p>
    <w:p>
      <w:pPr>
        <w:pStyle w:val="ListBullet"/>
      </w:pPr>
      <w:r>
        <w:t>Stakeholders include the Systems Engineer, service owner, and compliance lead for approvals.</w:t>
      </w:r>
    </w:p>
    <w:p>
      <w:pPr>
        <w:pStyle w:val="Heading1"/>
      </w:pPr>
      <w:r>
        <w:t>Request and Response</w:t>
      </w:r>
    </w:p>
    <w:p>
      <w:r>
        <w:t>We prioritize customer impact, data integrity, and regulatory alignment. This document aligns with PCI DSS requirements and supports APAC data residency expectations. Systems are monitored via Vault and alert routing in Jira. Systems are monitored via Vault and alert routing in Jira.</w:t>
      </w:r>
    </w:p>
    <w:p>
      <w:r>
        <w:t>All incidents are tagged with severity and mapped to service tiers. Teams must log requests in Jira and track outcomes in Customer Data Lake for audit readiness.</w:t>
      </w:r>
    </w:p>
    <w:p>
      <w:pPr>
        <w:pStyle w:val="ListBullet"/>
      </w:pPr>
      <w:r>
        <w:t>Evidence artifacts are retained in Jira for at least 12 months.</w:t>
      </w:r>
    </w:p>
    <w:p>
      <w:pPr>
        <w:pStyle w:val="ListBullet"/>
      </w:pPr>
      <w:r>
        <w:t>This document aligns with PCI DSS requirements and supports APAC data residency expectations.</w:t>
      </w:r>
    </w:p>
    <w:p>
      <w:pPr>
        <w:pStyle w:val="ListBullet"/>
      </w:pPr>
      <w:r>
        <w:t>Evidence artifacts are retained in Jira for at least 12 months.</w:t>
      </w:r>
    </w:p>
    <w:p>
      <w:pPr>
        <w:pStyle w:val="ListBullet"/>
      </w:pPr>
      <w:r>
        <w:t>Risk acceptance must be documented and revalidated each quarter.</w:t>
      </w:r>
    </w:p>
    <w:p>
      <w:pPr>
        <w:pStyle w:val="Heading1"/>
      </w:pPr>
      <w:r>
        <w:t>Error Handling</w:t>
      </w:r>
    </w:p>
    <w:p>
      <w:r>
        <w:t>All changes require peer review and validation in the Customer Data Lake before production promotion. The Product team coordinates with Systems Engineer to maintain operational readiness. Regional teams in APAC follow the same policy with localized legal review. Stakeholders include the Systems Engineer, service owner, and compliance lead for approvals.</w:t>
      </w:r>
    </w:p>
    <w:p>
      <w:r>
        <w:t>Escalations should follow the on-call rotation with a response target of 30 minutes. Teams must log requests in Jira and track outcomes in Customer Data Lake for audit readiness.</w:t>
      </w:r>
    </w:p>
    <w:p>
      <w:pPr>
        <w:pStyle w:val="ListBullet"/>
      </w:pPr>
      <w:r>
        <w:t>All changes require peer review and validation in the Customer Data Lake before production promotion.</w:t>
      </w:r>
    </w:p>
    <w:p>
      <w:pPr>
        <w:pStyle w:val="ListBullet"/>
      </w:pPr>
      <w:r>
        <w:t>Risk acceptance must be documented and revalidated each quarter.</w:t>
      </w:r>
    </w:p>
    <w:p>
      <w:pPr>
        <w:pStyle w:val="ListBullet"/>
      </w:pPr>
      <w:r>
        <w:t>Risk acceptance must be documented and revalidated each quarter.</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The Product team coordinates with Systems Engineer to maintain operational readiness.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Security</w:t>
            </w:r>
          </w:p>
        </w:tc>
        <w:tc>
          <w:tcPr>
            <w:tcW w:type="dxa" w:w="2880"/>
          </w:tcPr>
          <w:p>
            <w:r>
              <w:t>Planned</w:t>
            </w:r>
          </w:p>
        </w:tc>
      </w:tr>
      <w:tr>
        <w:tc>
          <w:tcPr>
            <w:tcW w:type="dxa" w:w="2880"/>
          </w:tcPr>
          <w:p>
            <w:r>
              <w:t>Backup validation</w:t>
            </w:r>
          </w:p>
        </w:tc>
        <w:tc>
          <w:tcPr>
            <w:tcW w:type="dxa" w:w="2880"/>
          </w:tcPr>
          <w:p>
            <w:r>
              <w:t>Security</w:t>
            </w:r>
          </w:p>
        </w:tc>
        <w:tc>
          <w:tcPr>
            <w:tcW w:type="dxa" w:w="2880"/>
          </w:tcPr>
          <w:p>
            <w:r>
              <w:t>Blocked</w:t>
            </w:r>
          </w:p>
        </w:tc>
      </w:tr>
      <w:tr>
        <w:tc>
          <w:tcPr>
            <w:tcW w:type="dxa" w:w="2880"/>
          </w:tcPr>
          <w:p>
            <w:r>
              <w:t>Vendor check</w:t>
            </w:r>
          </w:p>
        </w:tc>
        <w:tc>
          <w:tcPr>
            <w:tcW w:type="dxa" w:w="2880"/>
          </w:tcPr>
          <w:p>
            <w:r>
              <w:t>Operations</w:t>
            </w:r>
          </w:p>
        </w:tc>
        <w:tc>
          <w:tcPr>
            <w:tcW w:type="dxa" w:w="2880"/>
          </w:tcPr>
          <w:p>
            <w:r>
              <w:t>Complete</w:t>
            </w:r>
          </w:p>
        </w:tc>
      </w:tr>
      <w:tr>
        <w:tc>
          <w:tcPr>
            <w:tcW w:type="dxa" w:w="2880"/>
          </w:tcPr>
          <w:p>
            <w:r>
              <w:t>Incident drill</w:t>
            </w:r>
          </w:p>
        </w:tc>
        <w:tc>
          <w:tcPr>
            <w:tcW w:type="dxa" w:w="2880"/>
          </w:tcPr>
          <w:p>
            <w:r>
              <w:t>Operations</w:t>
            </w:r>
          </w:p>
        </w:tc>
        <w:tc>
          <w:tcPr>
            <w:tcW w:type="dxa" w:w="2880"/>
          </w:tcPr>
          <w:p>
            <w:r>
              <w:t>Blocked</w:t>
            </w:r>
          </w:p>
        </w:tc>
      </w:tr>
    </w:tbl>
    <w:p>
      <w:pPr>
        <w:pStyle w:val="Heading1"/>
      </w:pPr>
      <w:r>
        <w:t>Rate Limits</w:t>
      </w:r>
    </w:p>
    <w:p>
      <w:r>
        <w:t>Evidence artifacts are retained in Jira for at least 12 months. This document aligns with PCI DSS requirements and supports APAC data residency expectations. All incidents are tagged with severity and mapped to service tiers.</w:t>
      </w:r>
    </w:p>
    <w:p>
      <w:r>
        <w:t>The Product organization uses Vault to enforce consistent service baselines. The process integrates with Customer Data Lake and depends on Vault for telemetry signals. Systems are monitored via Vault and alert routing in Jira.</w:t>
      </w:r>
    </w:p>
    <w:p>
      <w:pPr>
        <w:pStyle w:val="ListBullet"/>
      </w:pPr>
      <w:r>
        <w:t>All incidents are tagged with severity and mapped to service tiers.</w:t>
      </w:r>
    </w:p>
    <w:p>
      <w:pPr>
        <w:pStyle w:val="ListBullet"/>
      </w:pPr>
      <w:r>
        <w:t>The Product team coordinates with Systems Engineer to maintain operational readiness.</w:t>
      </w:r>
    </w:p>
    <w:p>
      <w:pPr>
        <w:pStyle w:val="ListBullet"/>
      </w:pPr>
      <w:r>
        <w:t>Regional teams in APAC follow the same policy with localized legal review.</w:t>
      </w:r>
    </w:p>
    <w:p>
      <w:pPr>
        <w:pStyle w:val="ListBullet"/>
      </w:pPr>
      <w:r>
        <w:t>Escalations should follow the on-call rotation with a response target of 30 minutes.</w:t>
      </w:r>
    </w:p>
    <w:p>
      <w:pPr>
        <w:pStyle w:val="ListBullet"/>
      </w:pPr>
      <w:r>
        <w:t>The Product organization uses Vault to enforce consistent service baselines.</w:t>
      </w:r>
    </w:p>
    <w:p>
      <w:pPr>
        <w:pStyle w:val="ListBullet"/>
      </w:pPr>
      <w:r>
        <w:t>All changes require peer review and validation in the Customer Data Lake before production promotion.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