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Product APAC v1.1</w:t>
      </w:r>
    </w:p>
    <w:p>
      <w:r>
        <w:t>Department: Product</w:t>
      </w:r>
    </w:p>
    <w:p>
      <w:r>
        <w:t>Author: Taylor Kim</w:t>
      </w:r>
    </w:p>
    <w:p>
      <w:r>
        <w:t>Created date: 2023-12-10</w:t>
      </w:r>
    </w:p>
    <w:p>
      <w:r>
        <w:t>Region: APAC</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Authentication</w:t>
      </w:r>
    </w:p>
    <w:p>
      <w:r>
        <w:t>Regional teams in APAC follow the same policy with localized legal review. Risk acceptance must be documented and revalidated each quarter. Teams must log requests in Confluence and track outcomes in Log Aggregation Cluster for audit readiness.</w:t>
      </w:r>
    </w:p>
    <w:p>
      <w:r>
        <w:t>Systems are monitored via Azure and alert routing in Confluence. All changes require peer review and validation in the Log Aggregation Cluster before production promotion.</w:t>
      </w:r>
    </w:p>
    <w:p>
      <w:pPr>
        <w:pStyle w:val="ListBullet"/>
      </w:pPr>
      <w:r>
        <w:t>This document aligns with ISO 27001 requirements and supports APAC data residency expectations.</w:t>
      </w:r>
    </w:p>
    <w:p>
      <w:pPr>
        <w:pStyle w:val="ListBullet"/>
      </w:pPr>
      <w:r>
        <w:t>Teams must log requests in Confluence and track outcomes in Log Aggregation Cluster for audit readiness.</w:t>
      </w:r>
    </w:p>
    <w:p>
      <w:pPr>
        <w:pStyle w:val="ListBullet"/>
      </w:pPr>
      <w:r>
        <w:t>Stakeholders include the Security Analyst, service owner, and compliance lead for approvals.</w:t>
      </w:r>
    </w:p>
    <w:p>
      <w:pPr>
        <w:pStyle w:val="ListBullet"/>
      </w:pPr>
      <w:r>
        <w:t>All incidents are tagged with severity and mapped to service tiers.</w:t>
      </w:r>
    </w:p>
    <w:p>
      <w:pPr>
        <w:pStyle w:val="ListBullet"/>
      </w:pPr>
      <w:r>
        <w:t>The Product team coordinates with Security Analyst to maintain operational readiness.</w:t>
      </w:r>
    </w:p>
    <w:p>
      <w:pPr>
        <w:pStyle w:val="Heading1"/>
      </w:pPr>
      <w:r>
        <w:t>Endpoints</w:t>
      </w:r>
    </w:p>
    <w:p>
      <w:r>
        <w:t>Systems are monitored via Azure and alert routing in Confluence. The process integrates with Log Aggregation Cluster and depends on Azure for telemetry signals. This document aligns with ISO 27001 requirements and supports APAC data residency expectations.</w:t>
      </w:r>
    </w:p>
    <w:p>
      <w:r>
        <w:t>All changes require peer review and validation in the Log Aggregation Cluster before production promotion. This document aligns with ISO 27001 requirements and supports APAC data residency expectations.</w:t>
      </w:r>
    </w:p>
    <w:p>
      <w:pPr>
        <w:pStyle w:val="ListBullet"/>
      </w:pPr>
      <w:r>
        <w:t>All incidents are tagged with severity and mapped to service tiers.</w:t>
      </w:r>
    </w:p>
    <w:p>
      <w:pPr>
        <w:pStyle w:val="ListBullet"/>
      </w:pPr>
      <w:r>
        <w:t>Escalations should follow the on-call rotation with a response target of 60 minutes.</w:t>
      </w:r>
    </w:p>
    <w:p>
      <w:pPr>
        <w:pStyle w:val="ListBullet"/>
      </w:pPr>
      <w:r>
        <w:t>Teams must log requests in Confluence and track outcomes in Log Aggregation Cluster for audit readiness.</w:t>
      </w:r>
    </w:p>
    <w:p>
      <w:pPr>
        <w:pStyle w:val="ListBullet"/>
      </w:pPr>
      <w:r>
        <w:t>Regional teams in APAC follow the same policy with localized legal review.</w:t>
      </w:r>
    </w:p>
    <w:p>
      <w:pPr>
        <w:pStyle w:val="ListBullet"/>
      </w:pPr>
      <w:r>
        <w:t>All incidents are tagged with severity and mapped to service tiers.</w:t>
      </w:r>
    </w:p>
    <w:p>
      <w:pPr>
        <w:pStyle w:val="ListBullet"/>
      </w:pPr>
      <w:r>
        <w:t>Escalations should follow the on-call rotation with a response target of 60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Operations</w:t>
            </w:r>
          </w:p>
        </w:tc>
        <w:tc>
          <w:tcPr>
            <w:tcW w:type="dxa" w:w="2880"/>
          </w:tcPr>
          <w:p>
            <w:r>
              <w:t>Planned</w:t>
            </w:r>
          </w:p>
        </w:tc>
      </w:tr>
      <w:tr>
        <w:tc>
          <w:tcPr>
            <w:tcW w:type="dxa" w:w="2880"/>
          </w:tcPr>
          <w:p>
            <w:r>
              <w:t>Backup validation</w:t>
            </w:r>
          </w:p>
        </w:tc>
        <w:tc>
          <w:tcPr>
            <w:tcW w:type="dxa" w:w="2880"/>
          </w:tcPr>
          <w:p>
            <w:r>
              <w:t>Security Analyst</w:t>
            </w:r>
          </w:p>
        </w:tc>
        <w:tc>
          <w:tcPr>
            <w:tcW w:type="dxa" w:w="2880"/>
          </w:tcPr>
          <w:p>
            <w:r>
              <w:t>In Progress</w:t>
            </w:r>
          </w:p>
        </w:tc>
      </w:tr>
      <w:tr>
        <w:tc>
          <w:tcPr>
            <w:tcW w:type="dxa" w:w="2880"/>
          </w:tcPr>
          <w:p>
            <w:r>
              <w:t>Vendor check</w:t>
            </w:r>
          </w:p>
        </w:tc>
        <w:tc>
          <w:tcPr>
            <w:tcW w:type="dxa" w:w="2880"/>
          </w:tcPr>
          <w:p>
            <w:r>
              <w:t>Operations</w:t>
            </w:r>
          </w:p>
        </w:tc>
        <w:tc>
          <w:tcPr>
            <w:tcW w:type="dxa" w:w="2880"/>
          </w:tcPr>
          <w:p>
            <w:r>
              <w:t>Complete</w:t>
            </w:r>
          </w:p>
        </w:tc>
      </w:tr>
      <w:tr>
        <w:tc>
          <w:tcPr>
            <w:tcW w:type="dxa" w:w="2880"/>
          </w:tcPr>
          <w:p>
            <w:r>
              <w:t>Access review</w:t>
            </w:r>
          </w:p>
        </w:tc>
        <w:tc>
          <w:tcPr>
            <w:tcW w:type="dxa" w:w="2880"/>
          </w:tcPr>
          <w:p>
            <w:r>
              <w:t>Product</w:t>
            </w:r>
          </w:p>
        </w:tc>
        <w:tc>
          <w:tcPr>
            <w:tcW w:type="dxa" w:w="2880"/>
          </w:tcPr>
          <w:p>
            <w:r>
              <w:t>Complete</w:t>
            </w:r>
          </w:p>
        </w:tc>
      </w:tr>
    </w:tbl>
    <w:p>
      <w:pPr>
        <w:pStyle w:val="Heading1"/>
      </w:pPr>
      <w:r>
        <w:t>Request and Response</w:t>
      </w:r>
    </w:p>
    <w:p>
      <w:r>
        <w:t>The Product team coordinates with Security Analyst to maintain operational readiness. All incidents are tagged with severity and mapped to service tiers.</w:t>
      </w:r>
    </w:p>
    <w:p>
      <w:pPr>
        <w:pStyle w:val="ListBullet"/>
      </w:pPr>
      <w:r>
        <w:t>Systems are monitored via Azure and alert routing in Confluence.</w:t>
      </w:r>
    </w:p>
    <w:p>
      <w:pPr>
        <w:pStyle w:val="ListBullet"/>
      </w:pPr>
      <w:r>
        <w:t>Risk acceptance must be documented and revalidated each quarter.</w:t>
      </w:r>
    </w:p>
    <w:p>
      <w:pPr>
        <w:pStyle w:val="ListBullet"/>
      </w:pPr>
      <w:r>
        <w:t>All changes require peer review and validation in the Log Aggregation Cluster before production promotion.</w:t>
      </w:r>
    </w:p>
    <w:p>
      <w:pPr>
        <w:pStyle w:val="Heading1"/>
      </w:pPr>
      <w:r>
        <w:t>Error Handling</w:t>
      </w:r>
    </w:p>
    <w:p>
      <w:r>
        <w:t>Escalations should follow the on-call rotation with a response target of 60 minutes. Escalations should follow the on-call rotation with a response target of 60 minutes. Escalations should follow the on-call rotation with a response target of 60 minutes. Teams must log requests in Confluence and track outcomes in Log Aggregation Cluster for audit readiness.</w:t>
      </w:r>
    </w:p>
    <w:p>
      <w:r>
        <w:t>All changes require peer review and validation in the Log Aggregation Cluster before production promotion. Evidence artifacts are retained in Confluence for at least 18 months. Regional teams in APAC follow the same policy with localized legal review.</w:t>
      </w:r>
    </w:p>
    <w:p>
      <w:pPr>
        <w:pStyle w:val="ListBullet"/>
      </w:pPr>
      <w:r>
        <w:t>Evidence artifacts are retained in Confluence for at least 18 months.</w:t>
      </w:r>
    </w:p>
    <w:p>
      <w:pPr>
        <w:pStyle w:val="ListBullet"/>
      </w:pPr>
      <w:r>
        <w:t>Escalations should follow the on-call rotation with a response target of 60 minutes.</w:t>
      </w:r>
    </w:p>
    <w:p>
      <w:pPr>
        <w:pStyle w:val="ListBullet"/>
      </w:pPr>
      <w:r>
        <w:t>Teams must log requests in Confluence and track outcomes in Log Aggregation Cluster for audit readiness.</w:t>
      </w:r>
    </w:p>
    <w:p>
      <w:pPr>
        <w:pStyle w:val="ListBullet"/>
      </w:pPr>
      <w:r>
        <w:t>Risk acceptance must be documented and revalidated each quarter.</w:t>
      </w:r>
    </w:p>
    <w:p>
      <w:pPr>
        <w:pStyle w:val="ListBullet"/>
      </w:pPr>
      <w:r>
        <w:t>All changes require peer review and validation in the Log Aggregation Cluster before production promotion.</w:t>
      </w:r>
    </w:p>
    <w:p>
      <w:pPr>
        <w:pStyle w:val="ListBullet"/>
      </w:pPr>
      <w:r>
        <w:t>Regional teams in APAC follow the same policy with localized legal review.</w:t>
      </w:r>
    </w:p>
    <w:p>
      <w:pPr>
        <w:pStyle w:val="Heading1"/>
      </w:pPr>
      <w:r>
        <w:t>Rate Limits</w:t>
      </w:r>
    </w:p>
    <w:p>
      <w:r>
        <w:t>The Product team coordinates with Security Analyst to maintain operational readiness. Systems are monitored via Azure and alert routing in Confluence. All changes require peer review and validation in the Log Aggregation Cluster before production promotion. Teams must log requests in Confluence and track outcomes in Log Aggregation Cluster for audit readiness.</w:t>
      </w:r>
    </w:p>
    <w:p>
      <w:r>
        <w:t>Risk acceptance must be documented and revalidated each quarter. Regional teams in APAC follow the same policy with localized legal review. Regional teams in APAC follow the same policy with localized legal review.</w:t>
      </w:r>
    </w:p>
    <w:p>
      <w:pPr>
        <w:pStyle w:val="ListBullet"/>
      </w:pPr>
      <w:r>
        <w:t>This document aligns with ISO 27001 requirements and supports APAC data residency expectations.</w:t>
      </w:r>
    </w:p>
    <w:p>
      <w:pPr>
        <w:pStyle w:val="ListBullet"/>
      </w:pPr>
      <w:r>
        <w:t>Risk acceptance must be documented and revalidated each quarter.</w:t>
      </w:r>
    </w:p>
    <w:p>
      <w:pPr>
        <w:pStyle w:val="ListBullet"/>
      </w:pPr>
      <w:r>
        <w:t>Risk acceptance must be documented and revalidated each quarter.</w:t>
      </w:r>
    </w:p>
    <w:p>
      <w:pPr>
        <w:pStyle w:val="ListBullet"/>
      </w:pPr>
      <w:r>
        <w:t>Teams must log requests in Confluence and track outcomes in Log Aggregation Cluster for audit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