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Product EU v1.2</w:t>
      </w:r>
    </w:p>
    <w:p>
      <w:r>
        <w:t>Department: Product</w:t>
      </w:r>
    </w:p>
    <w:p>
      <w:r>
        <w:t>Author: Morgan Brown</w:t>
      </w:r>
    </w:p>
    <w:p>
      <w:r>
        <w:t>Created date: 2024-01-20</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We prioritize customer impact, data integrity, and regulatory alignment. This document aligns with HIPAA requirements and supports EU data residency expectations. Audit sampling occurs monthly and is summarized in leadership dashboards.</w:t>
      </w:r>
    </w:p>
    <w:p>
      <w:r>
        <w:t>The Product organization uses Vault to enforce consistent service baselines. Risk acceptance must be documented and revalidated each quarter. Stakeholders include the Procurement Lead, service owner, and compliance lead for approvals.</w:t>
      </w:r>
    </w:p>
    <w:p>
      <w:pPr>
        <w:pStyle w:val="ListBullet"/>
      </w:pPr>
      <w:r>
        <w:t>This document aligns with HIPAA requirements and supports EU data residency expectations.</w:t>
      </w:r>
    </w:p>
    <w:p>
      <w:pPr>
        <w:pStyle w:val="ListBullet"/>
      </w:pPr>
      <w:r>
        <w:t>Stakeholders include the Procurement Lead, service owner, and compliance lead for approvals.</w:t>
      </w:r>
    </w:p>
    <w:p>
      <w:pPr>
        <w:pStyle w:val="ListBullet"/>
      </w:pPr>
      <w:r>
        <w:t>The Product organization uses Vault to enforce consistent service baselines.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Escalations should follow the on-call rotation with a response target of 30 minutes.</w:t>
      </w:r>
    </w:p>
    <w:p>
      <w:pPr>
        <w:pStyle w:val="Heading1"/>
      </w:pPr>
      <w:r>
        <w:t>Endpoints</w:t>
      </w:r>
    </w:p>
    <w:p>
      <w:r>
        <w:t>Systems are monitored via Vault and alert routing in Salesforce. Systems are monitored via Vault and alert routing in Salesforce. The Product organization uses Vault to enforce consistent service baselines. We prioritize customer impact, data integrity, and regulatory alignment.</w:t>
      </w:r>
    </w:p>
    <w:p>
      <w:pPr>
        <w:pStyle w:val="ListBullet"/>
      </w:pPr>
      <w:r>
        <w:t>Audit sampling occurs monthly and is summarized in leadership dashboards.</w:t>
      </w:r>
    </w:p>
    <w:p>
      <w:pPr>
        <w:pStyle w:val="ListBullet"/>
      </w:pPr>
      <w:r>
        <w:t>Escalations should follow the on-call rotation with a response target of 30 minutes.</w:t>
      </w:r>
    </w:p>
    <w:p>
      <w:pPr>
        <w:pStyle w:val="ListBullet"/>
      </w:pPr>
      <w:r>
        <w:t>Evidence artifacts are retained in Salesforce for at least 18 months.</w:t>
      </w:r>
    </w:p>
    <w:p>
      <w:pPr>
        <w:pStyle w:val="ListBullet"/>
      </w:pPr>
      <w:r>
        <w:t>Risk acceptance must be documented and revalidated each quarter.</w:t>
      </w:r>
    </w:p>
    <w:p>
      <w:pPr>
        <w:pStyle w:val="Heading1"/>
      </w:pPr>
      <w:r>
        <w:t>Request and Response</w:t>
      </w:r>
    </w:p>
    <w:p>
      <w:r>
        <w:t>The process integrates with ERP System and depends on Vault for telemetry signals. Escalations should follow the on-call rotation with a response target of 30 minutes.</w:t>
      </w:r>
    </w:p>
    <w:p>
      <w:r>
        <w:t>Escalations should follow the on-call rotation with a response target of 30 minutes. All changes require peer review and validation in the ERP System before production promotion. Risk acceptance must be documented and revalidated each quarter. The process integrates with ERP System and depends on Vault for telemetry signals.</w:t>
      </w:r>
    </w:p>
    <w:p>
      <w:pPr>
        <w:pStyle w:val="ListBullet"/>
      </w:pPr>
      <w:r>
        <w:t>Escalations should follow the on-call rotation with a response target of 30 minutes.</w:t>
      </w:r>
    </w:p>
    <w:p>
      <w:pPr>
        <w:pStyle w:val="ListBullet"/>
      </w:pPr>
      <w:r>
        <w:t>Risk acceptance must be documented and revalidated each quarter.</w:t>
      </w:r>
    </w:p>
    <w:p>
      <w:pPr>
        <w:pStyle w:val="ListBullet"/>
      </w:pPr>
      <w:r>
        <w:t>Regional teams in EU follow the same policy with localized legal review.</w:t>
      </w:r>
    </w:p>
    <w:p>
      <w:pPr>
        <w:pStyle w:val="ListBullet"/>
      </w:pPr>
      <w:r>
        <w:t>Audit sampling occurs monthly and is summarized in leadership dashboards.</w:t>
      </w:r>
    </w:p>
    <w:p>
      <w:pPr>
        <w:pStyle w:val="Heading1"/>
      </w:pPr>
      <w:r>
        <w:t>Error Handling</w:t>
      </w:r>
    </w:p>
    <w:p>
      <w:r>
        <w:t>Audit sampling occurs monthly and is summarized in leadership dashboards. We prioritize customer impact, data integrity, and regulatory alignment. We prioritize customer impact, data integrity, and regulatory alignment.</w:t>
      </w:r>
    </w:p>
    <w:p>
      <w:pPr>
        <w:pStyle w:val="ListBullet"/>
      </w:pPr>
      <w:r>
        <w:t>All incidents are tagged with severity and mapped to service tiers.</w:t>
      </w:r>
    </w:p>
    <w:p>
      <w:pPr>
        <w:pStyle w:val="ListBullet"/>
      </w:pPr>
      <w:r>
        <w:t>Teams must log requests in Salesforce and track outcomes in ERP System for audit readiness.</w:t>
      </w:r>
    </w:p>
    <w:p>
      <w:pPr>
        <w:pStyle w:val="ListBullet"/>
      </w:pPr>
      <w:r>
        <w:t>Evidence artifacts are retained in Salesforce for at least 18 months.</w:t>
      </w:r>
    </w:p>
    <w:p>
      <w:pPr>
        <w:pStyle w:val="ListBullet"/>
      </w:pPr>
      <w:r>
        <w:t>Regional teams in EU follow the same policy with localized legal review.</w:t>
      </w:r>
    </w:p>
    <w:p>
      <w:pPr>
        <w:pStyle w:val="ListBullet"/>
      </w:pPr>
      <w:r>
        <w:t>Regional teams in EU follow the same policy with localized legal review.</w:t>
      </w:r>
    </w:p>
    <w:p>
      <w:pPr>
        <w:pStyle w:val="ListBullet"/>
      </w:pPr>
      <w:r>
        <w:t>All changes require peer review and validation in the ERP System before production promotion.</w:t>
      </w:r>
    </w:p>
    <w:p>
      <w:pPr>
        <w:pStyle w:val="Heading1"/>
      </w:pPr>
      <w:r>
        <w:t>Rate Limits</w:t>
      </w:r>
    </w:p>
    <w:p>
      <w:r>
        <w:t>Teams must log requests in Salesforce and track outcomes in ERP System for audit readiness. All incidents are tagged with severity and mapped to service tiers.</w:t>
      </w:r>
    </w:p>
    <w:p>
      <w:r>
        <w:t>The Product team coordinates with Procurement Lead to maintain operational readiness. The Product team coordinates with Procurement Lead to maintain operational readiness. Escalations should follow the on-call rotation with a response target of 30 minutes. Evidence artifacts are retained in Salesforce for at least 18 months.</w:t>
      </w:r>
    </w:p>
    <w:p>
      <w:pPr>
        <w:pStyle w:val="ListBullet"/>
      </w:pPr>
      <w:r>
        <w:t>All changes require peer review and validation in the ERP System before production promotion.</w:t>
      </w:r>
    </w:p>
    <w:p>
      <w:pPr>
        <w:pStyle w:val="ListBullet"/>
      </w:pPr>
      <w:r>
        <w:t>All incidents are tagged with severity and mapped to service tiers.</w:t>
      </w:r>
    </w:p>
    <w:p>
      <w:pPr>
        <w:pStyle w:val="ListBullet"/>
      </w:pPr>
      <w:r>
        <w:t>The Product organization uses Vault to enforce consistent service baselines.</w:t>
      </w:r>
    </w:p>
    <w:p>
      <w:pPr>
        <w:pStyle w:val="ListBullet"/>
      </w:pPr>
      <w:r>
        <w:t>Systems are monitored via Vault and alert routing in Salesforce.</w:t>
      </w:r>
    </w:p>
    <w:p>
      <w:pPr>
        <w:pStyle w:val="ListBullet"/>
      </w:pPr>
      <w:r>
        <w:t>All changes require peer review and validation in the ERP System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